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8C" w:rsidRPr="00BF0C8C" w:rsidRDefault="00BF0C8C" w:rsidP="00BF0C8C">
      <w:pPr>
        <w:widowControl/>
        <w:jc w:val="left"/>
        <w:rPr>
          <w:rFonts w:ascii="宋体" w:eastAsia="宋体" w:hAnsi="宋体" w:cs="宋体"/>
          <w:vanish/>
          <w:kern w:val="0"/>
          <w:sz w:val="24"/>
          <w:szCs w:val="24"/>
        </w:rPr>
      </w:pPr>
    </w:p>
    <w:tbl>
      <w:tblPr>
        <w:tblW w:w="12240" w:type="dxa"/>
        <w:tblCellSpacing w:w="0" w:type="dxa"/>
        <w:tblCellMar>
          <w:left w:w="0" w:type="dxa"/>
          <w:right w:w="0" w:type="dxa"/>
        </w:tblCellMar>
        <w:tblLook w:val="04A0" w:firstRow="1" w:lastRow="0" w:firstColumn="1" w:lastColumn="0" w:noHBand="0" w:noVBand="1"/>
      </w:tblPr>
      <w:tblGrid>
        <w:gridCol w:w="12240"/>
      </w:tblGrid>
      <w:tr w:rsidR="00BF0C8C" w:rsidRPr="00BF0C8C" w:rsidTr="00BF0C8C">
        <w:trPr>
          <w:tblCellSpacing w:w="0" w:type="dxa"/>
        </w:trPr>
        <w:tc>
          <w:tcPr>
            <w:tcW w:w="0" w:type="auto"/>
            <w:shd w:val="clear" w:color="auto" w:fill="FFFFFF"/>
            <w:vAlign w:val="center"/>
            <w:hideMark/>
          </w:tcPr>
          <w:p w:rsidR="00BF0C8C" w:rsidRPr="00BF0C8C" w:rsidRDefault="00BF0C8C" w:rsidP="00BF0C8C">
            <w:pPr>
              <w:widowControl/>
              <w:jc w:val="left"/>
              <w:rPr>
                <w:rFonts w:ascii="Times New Roman" w:eastAsia="宋体" w:hAnsi="Times New Roman" w:cs="Times New Roman"/>
                <w:color w:val="000000"/>
                <w:kern w:val="0"/>
                <w:szCs w:val="21"/>
              </w:rPr>
            </w:pPr>
            <w:bookmarkStart w:id="0" w:name="_GoBack"/>
            <w:bookmarkEnd w:id="0"/>
            <w:r w:rsidRPr="00BF0C8C">
              <w:rPr>
                <w:rFonts w:ascii="Times New Roman" w:eastAsia="宋体" w:hAnsi="Times New Roman" w:cs="Times New Roman"/>
                <w:color w:val="000000"/>
                <w:kern w:val="0"/>
                <w:szCs w:val="21"/>
              </w:rPr>
              <w:t> </w:t>
            </w:r>
          </w:p>
        </w:tc>
      </w:tr>
    </w:tbl>
    <w:p w:rsidR="00BF0C8C" w:rsidRPr="00BF0C8C" w:rsidRDefault="00BF0C8C" w:rsidP="00BF0C8C">
      <w:pPr>
        <w:widowControl/>
        <w:jc w:val="left"/>
        <w:rPr>
          <w:rFonts w:ascii="宋体" w:eastAsia="宋体" w:hAnsi="宋体" w:cs="宋体"/>
          <w:vanish/>
          <w:kern w:val="0"/>
          <w:sz w:val="24"/>
          <w:szCs w:val="24"/>
        </w:rPr>
      </w:pPr>
    </w:p>
    <w:tbl>
      <w:tblPr>
        <w:tblW w:w="12240" w:type="dxa"/>
        <w:jc w:val="center"/>
        <w:tblCellSpacing w:w="0" w:type="dxa"/>
        <w:tblCellMar>
          <w:left w:w="0" w:type="dxa"/>
          <w:right w:w="0" w:type="dxa"/>
        </w:tblCellMar>
        <w:tblLook w:val="04A0" w:firstRow="1" w:lastRow="0" w:firstColumn="1" w:lastColumn="0" w:noHBand="0" w:noVBand="1"/>
      </w:tblPr>
      <w:tblGrid>
        <w:gridCol w:w="12240"/>
      </w:tblGrid>
      <w:tr w:rsidR="00BF0C8C" w:rsidRPr="00BF0C8C" w:rsidTr="00BF0C8C">
        <w:trPr>
          <w:trHeight w:val="8445"/>
          <w:tblCellSpacing w:w="0" w:type="dxa"/>
          <w:jc w:val="center"/>
        </w:trPr>
        <w:tc>
          <w:tcPr>
            <w:tcW w:w="12240" w:type="dxa"/>
            <w:shd w:val="clear" w:color="auto" w:fill="FFFFFF"/>
            <w:hideMark/>
          </w:tcPr>
          <w:p w:rsidR="00BF0C8C" w:rsidRPr="00BF0C8C" w:rsidRDefault="00BF0C8C" w:rsidP="00BF0C8C">
            <w:pPr>
              <w:widowControl/>
              <w:spacing w:line="450" w:lineRule="atLeast"/>
              <w:jc w:val="left"/>
              <w:rPr>
                <w:rFonts w:ascii="&amp;quot" w:eastAsia="宋体" w:hAnsi="&amp;quot" w:cs="Times New Roman"/>
                <w:color w:val="2A2A2A"/>
                <w:kern w:val="0"/>
                <w:sz w:val="24"/>
                <w:szCs w:val="24"/>
              </w:rPr>
            </w:pPr>
          </w:p>
          <w:p w:rsidR="00BF0C8C" w:rsidRPr="00BF0C8C" w:rsidRDefault="00BF0C8C" w:rsidP="00BF0C8C">
            <w:pPr>
              <w:widowControl/>
              <w:spacing w:before="100" w:beforeAutospacing="1" w:after="100" w:afterAutospacing="1" w:line="450" w:lineRule="atLeast"/>
              <w:jc w:val="center"/>
              <w:rPr>
                <w:rFonts w:ascii="&amp;quot" w:eastAsia="宋体" w:hAnsi="&amp;quot" w:cs="Times New Roman"/>
                <w:color w:val="2A2A2A"/>
                <w:kern w:val="0"/>
                <w:sz w:val="24"/>
                <w:szCs w:val="24"/>
              </w:rPr>
            </w:pPr>
            <w:r w:rsidRPr="00BF0C8C">
              <w:rPr>
                <w:rFonts w:ascii="&amp;quot" w:eastAsia="宋体" w:hAnsi="&amp;quot" w:cs="Times New Roman" w:hint="eastAsia"/>
                <w:noProof/>
                <w:color w:val="2A2A2A"/>
                <w:kern w:val="0"/>
                <w:sz w:val="24"/>
                <w:szCs w:val="24"/>
              </w:rPr>
              <w:drawing>
                <wp:inline distT="0" distB="0" distL="0" distR="0" wp14:anchorId="1067847A" wp14:editId="2E4451DC">
                  <wp:extent cx="5715000" cy="6947535"/>
                  <wp:effectExtent l="0" t="0" r="0" b="5715"/>
                  <wp:docPr id="1" name="图片 1" descr="http://zsj.bynr.gov.cn/tzzn/yhzc/201801/W02018020262268115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j.bynr.gov.cn/tzzn/yhzc/201801/W0201802026226811527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947535"/>
                          </a:xfrm>
                          <a:prstGeom prst="rect">
                            <a:avLst/>
                          </a:prstGeom>
                          <a:noFill/>
                          <a:ln>
                            <a:noFill/>
                          </a:ln>
                        </pic:spPr>
                      </pic:pic>
                    </a:graphicData>
                  </a:graphic>
                </wp:inline>
              </w:drawing>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为认真贯彻落实国家、自治区关于扶持产业发展的有关政策，进一步加大巴彦淖尔市对外开放和招商引资力度，促进全市经济社会事业快速发展，结合实际，制定本优惠政策。</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lastRenderedPageBreak/>
              <w:t xml:space="preserve">　　一、土地政策</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w:t>
            </w:r>
            <w:r w:rsidRPr="00BF0C8C">
              <w:rPr>
                <w:rFonts w:ascii="&amp;quot" w:eastAsia="宋体" w:hAnsi="&amp;quot" w:cs="Times New Roman"/>
                <w:color w:val="2A2A2A"/>
                <w:kern w:val="0"/>
                <w:sz w:val="24"/>
                <w:szCs w:val="24"/>
              </w:rPr>
              <w:t>、凡来我市投资兴办国家和自治区鼓励类生产性企业，项目用地采用招拍挂出让土地使用权方式供给，土地出让金按规定征收后，对一次性固定资产投资额</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不含土地价格、下同</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在</w:t>
            </w:r>
            <w:r w:rsidRPr="00BF0C8C">
              <w:rPr>
                <w:rFonts w:ascii="&amp;quot" w:eastAsia="宋体" w:hAnsi="&amp;quot" w:cs="Times New Roman"/>
                <w:color w:val="2A2A2A"/>
                <w:kern w:val="0"/>
                <w:sz w:val="24"/>
                <w:szCs w:val="24"/>
              </w:rPr>
              <w:t>0.3</w:t>
            </w:r>
            <w:r w:rsidRPr="00BF0C8C">
              <w:rPr>
                <w:rFonts w:ascii="&amp;quot" w:eastAsia="宋体" w:hAnsi="&amp;quot" w:cs="Times New Roman"/>
                <w:color w:val="2A2A2A"/>
                <w:kern w:val="0"/>
                <w:sz w:val="24"/>
                <w:szCs w:val="24"/>
              </w:rPr>
              <w:t>亿元及以上项目，土地公开出让形成的市、旗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县区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两级财政性收入，</w:t>
            </w:r>
            <w:r w:rsidRPr="00BF0C8C">
              <w:rPr>
                <w:rFonts w:ascii="&amp;quot" w:eastAsia="宋体" w:hAnsi="&amp;quot" w:cs="Times New Roman"/>
                <w:color w:val="2A2A2A"/>
                <w:kern w:val="0"/>
                <w:sz w:val="24"/>
                <w:szCs w:val="24"/>
              </w:rPr>
              <w:t>100%</w:t>
            </w:r>
            <w:r w:rsidRPr="00BF0C8C">
              <w:rPr>
                <w:rFonts w:ascii="&amp;quot" w:eastAsia="宋体" w:hAnsi="&amp;quot" w:cs="Times New Roman"/>
                <w:color w:val="2A2A2A"/>
                <w:kern w:val="0"/>
                <w:sz w:val="24"/>
                <w:szCs w:val="24"/>
              </w:rPr>
              <w:t>用于扶持企业所在园区的基础设施建设。</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w:t>
            </w:r>
            <w:r w:rsidRPr="00BF0C8C">
              <w:rPr>
                <w:rFonts w:ascii="&amp;quot" w:eastAsia="宋体" w:hAnsi="&amp;quot" w:cs="Times New Roman"/>
                <w:color w:val="2A2A2A"/>
                <w:kern w:val="0"/>
                <w:sz w:val="24"/>
                <w:szCs w:val="24"/>
              </w:rPr>
              <w:t>、自治区确定的优先发展产业且用地集约的工业项目，以农、林、牧、渔业产品初加工为主的工业项目，在确定土地出让底价时可按不低于所在地土地等别相对应《全国工业用地出让最低价标准》的</w:t>
            </w:r>
            <w:r w:rsidRPr="00BF0C8C">
              <w:rPr>
                <w:rFonts w:ascii="&amp;quot" w:eastAsia="宋体" w:hAnsi="&amp;quot" w:cs="Times New Roman"/>
                <w:color w:val="2A2A2A"/>
                <w:kern w:val="0"/>
                <w:sz w:val="24"/>
                <w:szCs w:val="24"/>
              </w:rPr>
              <w:t>70%</w:t>
            </w:r>
            <w:r w:rsidRPr="00BF0C8C">
              <w:rPr>
                <w:rFonts w:ascii="&amp;quot" w:eastAsia="宋体" w:hAnsi="&amp;quot" w:cs="Times New Roman"/>
                <w:color w:val="2A2A2A"/>
                <w:kern w:val="0"/>
                <w:sz w:val="24"/>
                <w:szCs w:val="24"/>
              </w:rPr>
              <w:t>执行。</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3</w:t>
            </w:r>
            <w:r w:rsidRPr="00BF0C8C">
              <w:rPr>
                <w:rFonts w:ascii="&amp;quot" w:eastAsia="宋体" w:hAnsi="&amp;quot" w:cs="Times New Roman"/>
                <w:color w:val="2A2A2A"/>
                <w:kern w:val="0"/>
                <w:sz w:val="24"/>
                <w:szCs w:val="24"/>
              </w:rPr>
              <w:t>、对一次性缴纳土地出让金有困难的企业，可以分期缴纳，首次缴纳的比例可按全部出让金的</w:t>
            </w:r>
            <w:r w:rsidRPr="00BF0C8C">
              <w:rPr>
                <w:rFonts w:ascii="&amp;quot" w:eastAsia="宋体" w:hAnsi="&amp;quot" w:cs="Times New Roman"/>
                <w:color w:val="2A2A2A"/>
                <w:kern w:val="0"/>
                <w:sz w:val="24"/>
                <w:szCs w:val="24"/>
              </w:rPr>
              <w:t>50%</w:t>
            </w:r>
            <w:r w:rsidRPr="00BF0C8C">
              <w:rPr>
                <w:rFonts w:ascii="&amp;quot" w:eastAsia="宋体" w:hAnsi="&amp;quot" w:cs="Times New Roman"/>
                <w:color w:val="2A2A2A"/>
                <w:kern w:val="0"/>
                <w:sz w:val="24"/>
                <w:szCs w:val="24"/>
              </w:rPr>
              <w:t>缴纳，依法约定分期缴纳土地出让金的期限，原则上不超过一年，特殊情况经政府批准，可以约定在两年之内全部缴清。</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4</w:t>
            </w:r>
            <w:r w:rsidRPr="00BF0C8C">
              <w:rPr>
                <w:rFonts w:ascii="&amp;quot" w:eastAsia="宋体" w:hAnsi="&amp;quot" w:cs="Times New Roman"/>
                <w:color w:val="2A2A2A"/>
                <w:kern w:val="0"/>
                <w:sz w:val="24"/>
                <w:szCs w:val="24"/>
              </w:rPr>
              <w:t>、符合国家产业政策、国家和自治区鼓励类的招商引资项目可采取长期租赁、先租后让、租让结合方式使用土地。</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二、电力政策</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5</w:t>
            </w:r>
            <w:r w:rsidRPr="00BF0C8C">
              <w:rPr>
                <w:rFonts w:ascii="&amp;quot" w:eastAsia="宋体" w:hAnsi="&amp;quot" w:cs="Times New Roman"/>
                <w:color w:val="2A2A2A"/>
                <w:kern w:val="0"/>
                <w:sz w:val="24"/>
                <w:szCs w:val="24"/>
              </w:rPr>
              <w:t>、部分行业生产用电实行多边交易政策。对符合国家产业政策、行业先进技术标准和自治区产业布局的钢铁、有色金属冶炼</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铝、铜、铅、锌</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、氯碱化工</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烧碱、金属钠</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、煤化工</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甲醇、二甲醚、烯烃、合成氨</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、天然气化工</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甲醇、合成氨、液化天然气</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、多</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单</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晶硅、工业硅、生物发酵以及铁合金、电解锰、金属镁、化成箔、石墨</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含碳素、电极</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、电石以及聚氯乙烯、</w:t>
            </w:r>
            <w:r w:rsidRPr="00BF0C8C">
              <w:rPr>
                <w:rFonts w:ascii="&amp;quot" w:eastAsia="宋体" w:hAnsi="&amp;quot" w:cs="Times New Roman"/>
                <w:color w:val="2A2A2A"/>
                <w:kern w:val="0"/>
                <w:sz w:val="24"/>
                <w:szCs w:val="24"/>
              </w:rPr>
              <w:t>PVA</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1,4-</w:t>
            </w:r>
            <w:r w:rsidRPr="00BF0C8C">
              <w:rPr>
                <w:rFonts w:ascii="&amp;quot" w:eastAsia="宋体" w:hAnsi="&amp;quot" w:cs="Times New Roman"/>
                <w:color w:val="2A2A2A"/>
                <w:kern w:val="0"/>
                <w:sz w:val="24"/>
                <w:szCs w:val="24"/>
              </w:rPr>
              <w:t>丁二醇等电石下游产品实行电力多边交易政策。现行交易额度按发电企业上网电价的</w:t>
            </w:r>
            <w:r w:rsidRPr="00BF0C8C">
              <w:rPr>
                <w:rFonts w:ascii="&amp;quot" w:eastAsia="宋体" w:hAnsi="&amp;quot" w:cs="Times New Roman"/>
                <w:color w:val="2A2A2A"/>
                <w:kern w:val="0"/>
                <w:sz w:val="24"/>
                <w:szCs w:val="24"/>
              </w:rPr>
              <w:t>20%</w:t>
            </w:r>
            <w:r w:rsidRPr="00BF0C8C">
              <w:rPr>
                <w:rFonts w:ascii="&amp;quot" w:eastAsia="宋体" w:hAnsi="&amp;quot" w:cs="Times New Roman"/>
                <w:color w:val="2A2A2A"/>
                <w:kern w:val="0"/>
                <w:sz w:val="24"/>
                <w:szCs w:val="24"/>
              </w:rPr>
              <w:t>，即在</w:t>
            </w:r>
            <w:r w:rsidRPr="00BF0C8C">
              <w:rPr>
                <w:rFonts w:ascii="&amp;quot" w:eastAsia="宋体" w:hAnsi="&amp;quot" w:cs="Times New Roman"/>
                <w:color w:val="2A2A2A"/>
                <w:kern w:val="0"/>
                <w:sz w:val="24"/>
                <w:szCs w:val="24"/>
              </w:rPr>
              <w:t>0.0554</w:t>
            </w:r>
            <w:r w:rsidRPr="00BF0C8C">
              <w:rPr>
                <w:rFonts w:ascii="&amp;quot" w:eastAsia="宋体" w:hAnsi="&amp;quot" w:cs="Times New Roman"/>
                <w:color w:val="2A2A2A"/>
                <w:kern w:val="0"/>
                <w:sz w:val="24"/>
                <w:szCs w:val="24"/>
              </w:rPr>
              <w:t>元</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千瓦时范围内给予优惠。</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6</w:t>
            </w:r>
            <w:r w:rsidRPr="00BF0C8C">
              <w:rPr>
                <w:rFonts w:ascii="&amp;quot" w:eastAsia="宋体" w:hAnsi="&amp;quot" w:cs="Times New Roman"/>
                <w:color w:val="2A2A2A"/>
                <w:kern w:val="0"/>
                <w:sz w:val="24"/>
                <w:szCs w:val="24"/>
              </w:rPr>
              <w:t>、支持战略性新兴特色优势产业用电充分竞价。对符合国家产业政策的多</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单</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晶硅、云计算、大数据、蓝宝石、碳纤维、碳化硅系列、石墨电极以及稀土终端应用产品等行业生产用电以及新能源汽车充电、风光电供热用电列入优先交易范围，使目标交易到户电价达到</w:t>
            </w:r>
            <w:r w:rsidRPr="00BF0C8C">
              <w:rPr>
                <w:rFonts w:ascii="&amp;quot" w:eastAsia="宋体" w:hAnsi="&amp;quot" w:cs="Times New Roman"/>
                <w:color w:val="2A2A2A"/>
                <w:kern w:val="0"/>
                <w:sz w:val="24"/>
                <w:szCs w:val="24"/>
              </w:rPr>
              <w:t>0.26</w:t>
            </w:r>
            <w:r w:rsidRPr="00BF0C8C">
              <w:rPr>
                <w:rFonts w:ascii="&amp;quot" w:eastAsia="宋体" w:hAnsi="&amp;quot" w:cs="Times New Roman"/>
                <w:color w:val="2A2A2A"/>
                <w:kern w:val="0"/>
                <w:sz w:val="24"/>
                <w:szCs w:val="24"/>
              </w:rPr>
              <w:t>元</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千瓦时。</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7</w:t>
            </w:r>
            <w:r w:rsidRPr="00BF0C8C">
              <w:rPr>
                <w:rFonts w:ascii="&amp;quot" w:eastAsia="宋体" w:hAnsi="&amp;quot" w:cs="Times New Roman"/>
                <w:color w:val="2A2A2A"/>
                <w:kern w:val="0"/>
                <w:sz w:val="24"/>
                <w:szCs w:val="24"/>
              </w:rPr>
              <w:t>、支持公用火电企业与用电企业重组。支持公用火电企业在现行政策下，发挥电力优势，自建用电项目或招商引资发展新产业，新增的用电负荷可直接供电，采取自备模式运行；新增用电企业也可对公用火电企业进行重组</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原则上全额控股对方</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，重组后也可采取自备模式供电。</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8</w:t>
            </w:r>
            <w:r w:rsidRPr="00BF0C8C">
              <w:rPr>
                <w:rFonts w:ascii="&amp;quot" w:eastAsia="宋体" w:hAnsi="&amp;quot" w:cs="Times New Roman"/>
                <w:color w:val="2A2A2A"/>
                <w:kern w:val="0"/>
                <w:sz w:val="24"/>
                <w:szCs w:val="24"/>
              </w:rPr>
              <w:t>、新建电解铝项目实施价格联动机制。对于通过产能置换新增电解铝产能，由发电、电网、用户三方通过交易形成电价，以长江电解铝现货价格为基准进行三方价格联动。当铝价</w:t>
            </w:r>
            <w:r w:rsidRPr="00BF0C8C">
              <w:rPr>
                <w:rFonts w:ascii="&amp;quot" w:eastAsia="宋体" w:hAnsi="&amp;quot" w:cs="Times New Roman"/>
                <w:color w:val="2A2A2A"/>
                <w:kern w:val="0"/>
                <w:sz w:val="24"/>
                <w:szCs w:val="24"/>
              </w:rPr>
              <w:t>11500</w:t>
            </w:r>
            <w:r w:rsidRPr="00BF0C8C">
              <w:rPr>
                <w:rFonts w:ascii="&amp;quot" w:eastAsia="宋体" w:hAnsi="&amp;quot" w:cs="Times New Roman"/>
                <w:color w:val="2A2A2A"/>
                <w:kern w:val="0"/>
                <w:sz w:val="24"/>
                <w:szCs w:val="24"/>
              </w:rPr>
              <w:t>元</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吨时，通过市场交易，发电企业交易电价</w:t>
            </w:r>
            <w:r w:rsidRPr="00BF0C8C">
              <w:rPr>
                <w:rFonts w:ascii="&amp;quot" w:eastAsia="宋体" w:hAnsi="&amp;quot" w:cs="Times New Roman"/>
                <w:color w:val="2A2A2A"/>
                <w:kern w:val="0"/>
                <w:sz w:val="24"/>
                <w:szCs w:val="24"/>
              </w:rPr>
              <w:t>0.15</w:t>
            </w:r>
            <w:r w:rsidRPr="00BF0C8C">
              <w:rPr>
                <w:rFonts w:ascii="&amp;quot" w:eastAsia="宋体" w:hAnsi="&amp;quot" w:cs="Times New Roman"/>
                <w:color w:val="2A2A2A"/>
                <w:kern w:val="0"/>
                <w:sz w:val="24"/>
                <w:szCs w:val="24"/>
              </w:rPr>
              <w:t>元</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千瓦时，电网公司根据三方合同收取</w:t>
            </w:r>
            <w:r w:rsidRPr="00BF0C8C">
              <w:rPr>
                <w:rFonts w:ascii="&amp;quot" w:eastAsia="宋体" w:hAnsi="&amp;quot" w:cs="Times New Roman"/>
                <w:color w:val="2A2A2A"/>
                <w:kern w:val="0"/>
                <w:sz w:val="24"/>
                <w:szCs w:val="24"/>
              </w:rPr>
              <w:t>0.1</w:t>
            </w:r>
            <w:r w:rsidRPr="00BF0C8C">
              <w:rPr>
                <w:rFonts w:ascii="&amp;quot" w:eastAsia="宋体" w:hAnsi="&amp;quot" w:cs="Times New Roman"/>
                <w:color w:val="2A2A2A"/>
                <w:kern w:val="0"/>
                <w:sz w:val="24"/>
                <w:szCs w:val="24"/>
              </w:rPr>
              <w:t>元</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千瓦时，形成用户到户电价</w:t>
            </w:r>
            <w:r w:rsidRPr="00BF0C8C">
              <w:rPr>
                <w:rFonts w:ascii="&amp;quot" w:eastAsia="宋体" w:hAnsi="&amp;quot" w:cs="Times New Roman"/>
                <w:color w:val="2A2A2A"/>
                <w:kern w:val="0"/>
                <w:sz w:val="24"/>
                <w:szCs w:val="24"/>
              </w:rPr>
              <w:t>0.25</w:t>
            </w:r>
            <w:r w:rsidRPr="00BF0C8C">
              <w:rPr>
                <w:rFonts w:ascii="&amp;quot" w:eastAsia="宋体" w:hAnsi="&amp;quot" w:cs="Times New Roman"/>
                <w:color w:val="2A2A2A"/>
                <w:kern w:val="0"/>
                <w:sz w:val="24"/>
                <w:szCs w:val="24"/>
              </w:rPr>
              <w:t>元</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千瓦时。铝价上涨时，</w:t>
            </w:r>
            <w:r w:rsidRPr="00BF0C8C">
              <w:rPr>
                <w:rFonts w:ascii="&amp;quot" w:eastAsia="宋体" w:hAnsi="&amp;quot" w:cs="Times New Roman"/>
                <w:color w:val="2A2A2A"/>
                <w:kern w:val="0"/>
                <w:sz w:val="24"/>
                <w:szCs w:val="24"/>
              </w:rPr>
              <w:lastRenderedPageBreak/>
              <w:t>三方价格按一定比例上浮。以此为基点，三方签订价格联动合同，相关合同报自治区人民政府及相关部门备案后执行。</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三、税收政策</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9</w:t>
            </w:r>
            <w:r w:rsidRPr="00BF0C8C">
              <w:rPr>
                <w:rFonts w:ascii="&amp;quot" w:eastAsia="宋体" w:hAnsi="&amp;quot" w:cs="Times New Roman"/>
                <w:color w:val="2A2A2A"/>
                <w:kern w:val="0"/>
                <w:sz w:val="24"/>
                <w:szCs w:val="24"/>
              </w:rPr>
              <w:t>、不折不扣落实国家西部大开发的各项优惠政策。按照财政部、国家税务总局、海关总署《关于深入实施西部大开发战略有关税收政策问题的通知》</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财税〔</w:t>
            </w:r>
            <w:r w:rsidRPr="00BF0C8C">
              <w:rPr>
                <w:rFonts w:ascii="&amp;quot" w:eastAsia="宋体" w:hAnsi="&amp;quot" w:cs="Times New Roman"/>
                <w:color w:val="2A2A2A"/>
                <w:kern w:val="0"/>
                <w:sz w:val="24"/>
                <w:szCs w:val="24"/>
              </w:rPr>
              <w:t>2011</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58</w:t>
            </w:r>
            <w:r w:rsidRPr="00BF0C8C">
              <w:rPr>
                <w:rFonts w:ascii="&amp;quot" w:eastAsia="宋体" w:hAnsi="&amp;quot" w:cs="Times New Roman"/>
                <w:color w:val="2A2A2A"/>
                <w:kern w:val="0"/>
                <w:sz w:val="24"/>
                <w:szCs w:val="24"/>
              </w:rPr>
              <w:t>号</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，对设在西部地区的鼓励类产业</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指以《西部地区鼓励类产业目录》中规定的产业项目为主营业务，且其主营业务收入占企业收入总额</w:t>
            </w:r>
            <w:r w:rsidRPr="00BF0C8C">
              <w:rPr>
                <w:rFonts w:ascii="&amp;quot" w:eastAsia="宋体" w:hAnsi="&amp;quot" w:cs="Times New Roman"/>
                <w:color w:val="2A2A2A"/>
                <w:kern w:val="0"/>
                <w:sz w:val="24"/>
                <w:szCs w:val="24"/>
              </w:rPr>
              <w:t>70%</w:t>
            </w:r>
            <w:r w:rsidRPr="00BF0C8C">
              <w:rPr>
                <w:rFonts w:ascii="&amp;quot" w:eastAsia="宋体" w:hAnsi="&amp;quot" w:cs="Times New Roman"/>
                <w:color w:val="2A2A2A"/>
                <w:kern w:val="0"/>
                <w:sz w:val="24"/>
                <w:szCs w:val="24"/>
              </w:rPr>
              <w:t>以上的企业</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，减按</w:t>
            </w:r>
            <w:r w:rsidRPr="00BF0C8C">
              <w:rPr>
                <w:rFonts w:ascii="&amp;quot" w:eastAsia="宋体" w:hAnsi="&amp;quot" w:cs="Times New Roman"/>
                <w:color w:val="2A2A2A"/>
                <w:kern w:val="0"/>
                <w:sz w:val="24"/>
                <w:szCs w:val="24"/>
              </w:rPr>
              <w:t>15%</w:t>
            </w:r>
            <w:r w:rsidRPr="00BF0C8C">
              <w:rPr>
                <w:rFonts w:ascii="&amp;quot" w:eastAsia="宋体" w:hAnsi="&amp;quot" w:cs="Times New Roman"/>
                <w:color w:val="2A2A2A"/>
                <w:kern w:val="0"/>
                <w:sz w:val="24"/>
                <w:szCs w:val="24"/>
              </w:rPr>
              <w:t>的税率征收企业所得税。对被认定为高新技术企业的，减按</w:t>
            </w:r>
            <w:r w:rsidRPr="00BF0C8C">
              <w:rPr>
                <w:rFonts w:ascii="&amp;quot" w:eastAsia="宋体" w:hAnsi="&amp;quot" w:cs="Times New Roman"/>
                <w:color w:val="2A2A2A"/>
                <w:kern w:val="0"/>
                <w:sz w:val="24"/>
                <w:szCs w:val="24"/>
              </w:rPr>
              <w:t>15%</w:t>
            </w:r>
            <w:r w:rsidRPr="00BF0C8C">
              <w:rPr>
                <w:rFonts w:ascii="&amp;quot" w:eastAsia="宋体" w:hAnsi="&amp;quot" w:cs="Times New Roman"/>
                <w:color w:val="2A2A2A"/>
                <w:kern w:val="0"/>
                <w:sz w:val="24"/>
                <w:szCs w:val="24"/>
              </w:rPr>
              <w:t>的税率征收企业所得税。</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10</w:t>
            </w:r>
            <w:r w:rsidRPr="00BF0C8C">
              <w:rPr>
                <w:rFonts w:ascii="&amp;quot" w:eastAsia="宋体" w:hAnsi="&amp;quot" w:cs="Times New Roman"/>
                <w:color w:val="2A2A2A"/>
                <w:kern w:val="0"/>
                <w:sz w:val="24"/>
                <w:szCs w:val="24"/>
              </w:rPr>
              <w:t>、在我市新设立或已设立从事大数据基础设施建设</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含大数据存储、云计算存储及宽带网络建设运营</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的独立法人，其主营业务收入占企业收入总额</w:t>
            </w:r>
            <w:r w:rsidRPr="00BF0C8C">
              <w:rPr>
                <w:rFonts w:ascii="&amp;quot" w:eastAsia="宋体" w:hAnsi="&amp;quot" w:cs="Times New Roman"/>
                <w:color w:val="2A2A2A"/>
                <w:kern w:val="0"/>
                <w:sz w:val="24"/>
                <w:szCs w:val="24"/>
              </w:rPr>
              <w:t>70%</w:t>
            </w:r>
            <w:r w:rsidRPr="00BF0C8C">
              <w:rPr>
                <w:rFonts w:ascii="&amp;quot" w:eastAsia="宋体" w:hAnsi="&amp;quot" w:cs="Times New Roman"/>
                <w:color w:val="2A2A2A"/>
                <w:kern w:val="0"/>
                <w:sz w:val="24"/>
                <w:szCs w:val="24"/>
              </w:rPr>
              <w:t>以上的，在</w:t>
            </w:r>
            <w:r w:rsidRPr="00BF0C8C">
              <w:rPr>
                <w:rFonts w:ascii="&amp;quot" w:eastAsia="宋体" w:hAnsi="&amp;quot" w:cs="Times New Roman"/>
                <w:color w:val="2A2A2A"/>
                <w:kern w:val="0"/>
                <w:sz w:val="24"/>
                <w:szCs w:val="24"/>
              </w:rPr>
              <w:t>2020</w:t>
            </w:r>
            <w:r w:rsidRPr="00BF0C8C">
              <w:rPr>
                <w:rFonts w:ascii="&amp;quot" w:eastAsia="宋体" w:hAnsi="&amp;quot" w:cs="Times New Roman"/>
                <w:color w:val="2A2A2A"/>
                <w:kern w:val="0"/>
                <w:sz w:val="24"/>
                <w:szCs w:val="24"/>
              </w:rPr>
              <w:t>年</w:t>
            </w:r>
            <w:r w:rsidRPr="00BF0C8C">
              <w:rPr>
                <w:rFonts w:ascii="&amp;quot" w:eastAsia="宋体" w:hAnsi="&amp;quot" w:cs="Times New Roman"/>
                <w:color w:val="2A2A2A"/>
                <w:kern w:val="0"/>
                <w:sz w:val="24"/>
                <w:szCs w:val="24"/>
              </w:rPr>
              <w:t>12</w:t>
            </w:r>
            <w:r w:rsidRPr="00BF0C8C">
              <w:rPr>
                <w:rFonts w:ascii="&amp;quot" w:eastAsia="宋体" w:hAnsi="&amp;quot" w:cs="Times New Roman"/>
                <w:color w:val="2A2A2A"/>
                <w:kern w:val="0"/>
                <w:sz w:val="24"/>
                <w:szCs w:val="24"/>
              </w:rPr>
              <w:t>月</w:t>
            </w:r>
            <w:r w:rsidRPr="00BF0C8C">
              <w:rPr>
                <w:rFonts w:ascii="&amp;quot" w:eastAsia="宋体" w:hAnsi="&amp;quot" w:cs="Times New Roman"/>
                <w:color w:val="2A2A2A"/>
                <w:kern w:val="0"/>
                <w:sz w:val="24"/>
                <w:szCs w:val="24"/>
              </w:rPr>
              <w:t>31</w:t>
            </w:r>
            <w:r w:rsidRPr="00BF0C8C">
              <w:rPr>
                <w:rFonts w:ascii="&amp;quot" w:eastAsia="宋体" w:hAnsi="&amp;quot" w:cs="Times New Roman"/>
                <w:color w:val="2A2A2A"/>
                <w:kern w:val="0"/>
                <w:sz w:val="24"/>
                <w:szCs w:val="24"/>
              </w:rPr>
              <w:t>日前享受国家西部大开发</w:t>
            </w:r>
            <w:r w:rsidRPr="00BF0C8C">
              <w:rPr>
                <w:rFonts w:ascii="&amp;quot" w:eastAsia="宋体" w:hAnsi="&amp;quot" w:cs="Times New Roman"/>
                <w:color w:val="2A2A2A"/>
                <w:kern w:val="0"/>
                <w:sz w:val="24"/>
                <w:szCs w:val="24"/>
              </w:rPr>
              <w:t>15%</w:t>
            </w:r>
            <w:r w:rsidRPr="00BF0C8C">
              <w:rPr>
                <w:rFonts w:ascii="&amp;quot" w:eastAsia="宋体" w:hAnsi="&amp;quot" w:cs="Times New Roman"/>
                <w:color w:val="2A2A2A"/>
                <w:kern w:val="0"/>
                <w:sz w:val="24"/>
                <w:szCs w:val="24"/>
              </w:rPr>
              <w:t>的企业所得税优惠税率。其中，我市新设立的从事大数据基础设施建设的独立法人，在</w:t>
            </w:r>
            <w:r w:rsidRPr="00BF0C8C">
              <w:rPr>
                <w:rFonts w:ascii="&amp;quot" w:eastAsia="宋体" w:hAnsi="&amp;quot" w:cs="Times New Roman"/>
                <w:color w:val="2A2A2A"/>
                <w:kern w:val="0"/>
                <w:sz w:val="24"/>
                <w:szCs w:val="24"/>
              </w:rPr>
              <w:t>2022</w:t>
            </w:r>
            <w:r w:rsidRPr="00BF0C8C">
              <w:rPr>
                <w:rFonts w:ascii="&amp;quot" w:eastAsia="宋体" w:hAnsi="&amp;quot" w:cs="Times New Roman"/>
                <w:color w:val="2A2A2A"/>
                <w:kern w:val="0"/>
                <w:sz w:val="24"/>
                <w:szCs w:val="24"/>
              </w:rPr>
              <w:t>年前从获利年度起计算优惠期，</w:t>
            </w:r>
            <w:r w:rsidRPr="00BF0C8C">
              <w:rPr>
                <w:rFonts w:ascii="&amp;quot" w:eastAsia="宋体" w:hAnsi="&amp;quot" w:cs="Times New Roman"/>
                <w:color w:val="2A2A2A"/>
                <w:kern w:val="0"/>
                <w:sz w:val="24"/>
                <w:szCs w:val="24"/>
              </w:rPr>
              <w:t>5</w:t>
            </w:r>
            <w:r w:rsidRPr="00BF0C8C">
              <w:rPr>
                <w:rFonts w:ascii="&amp;quot" w:eastAsia="宋体" w:hAnsi="&amp;quot" w:cs="Times New Roman"/>
                <w:color w:val="2A2A2A"/>
                <w:kern w:val="0"/>
                <w:sz w:val="24"/>
                <w:szCs w:val="24"/>
              </w:rPr>
              <w:t>年内免征企业所得税地方分享部分。</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四、财政扶持政策</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11</w:t>
            </w:r>
            <w:r w:rsidRPr="00BF0C8C">
              <w:rPr>
                <w:rFonts w:ascii="&amp;quot" w:eastAsia="宋体" w:hAnsi="&amp;quot" w:cs="Times New Roman"/>
                <w:color w:val="2A2A2A"/>
                <w:kern w:val="0"/>
                <w:sz w:val="24"/>
                <w:szCs w:val="24"/>
              </w:rPr>
              <w:t>、投资新办工业企业，市旗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县区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两级财政按照以下标准给予项目资金扶持</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先由旗县区予以兑现，后由市、旗县区按比例结算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，用于企业进行基础设施建设、节能减排、科技研发、技术改造、增加就业等方面。</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固定资产投资额在</w:t>
            </w:r>
            <w:r w:rsidRPr="00BF0C8C">
              <w:rPr>
                <w:rFonts w:ascii="&amp;quot" w:eastAsia="宋体" w:hAnsi="&amp;quot" w:cs="Times New Roman"/>
                <w:color w:val="2A2A2A"/>
                <w:kern w:val="0"/>
                <w:sz w:val="24"/>
                <w:szCs w:val="24"/>
              </w:rPr>
              <w:t>0.3-1</w:t>
            </w:r>
            <w:r w:rsidRPr="00BF0C8C">
              <w:rPr>
                <w:rFonts w:ascii="&amp;quot" w:eastAsia="宋体" w:hAnsi="&amp;quot" w:cs="Times New Roman"/>
                <w:color w:val="2A2A2A"/>
                <w:kern w:val="0"/>
                <w:sz w:val="24"/>
                <w:szCs w:val="24"/>
              </w:rPr>
              <w:t>亿元、</w:t>
            </w:r>
            <w:r w:rsidRPr="00BF0C8C">
              <w:rPr>
                <w:rFonts w:ascii="&amp;quot" w:eastAsia="宋体" w:hAnsi="&amp;quot" w:cs="Times New Roman"/>
                <w:color w:val="2A2A2A"/>
                <w:kern w:val="0"/>
                <w:sz w:val="24"/>
                <w:szCs w:val="24"/>
              </w:rPr>
              <w:t>1-3</w:t>
            </w:r>
            <w:r w:rsidRPr="00BF0C8C">
              <w:rPr>
                <w:rFonts w:ascii="&amp;quot" w:eastAsia="宋体" w:hAnsi="&amp;quot" w:cs="Times New Roman"/>
                <w:color w:val="2A2A2A"/>
                <w:kern w:val="0"/>
                <w:sz w:val="24"/>
                <w:szCs w:val="24"/>
              </w:rPr>
              <w:t>亿元、</w:t>
            </w:r>
            <w:r w:rsidRPr="00BF0C8C">
              <w:rPr>
                <w:rFonts w:ascii="&amp;quot" w:eastAsia="宋体" w:hAnsi="&amp;quot" w:cs="Times New Roman"/>
                <w:color w:val="2A2A2A"/>
                <w:kern w:val="0"/>
                <w:sz w:val="24"/>
                <w:szCs w:val="24"/>
              </w:rPr>
              <w:t>3-5</w:t>
            </w:r>
            <w:r w:rsidRPr="00BF0C8C">
              <w:rPr>
                <w:rFonts w:ascii="&amp;quot" w:eastAsia="宋体" w:hAnsi="&amp;quot" w:cs="Times New Roman"/>
                <w:color w:val="2A2A2A"/>
                <w:kern w:val="0"/>
                <w:sz w:val="24"/>
                <w:szCs w:val="24"/>
              </w:rPr>
              <w:t>亿元、</w:t>
            </w:r>
            <w:r w:rsidRPr="00BF0C8C">
              <w:rPr>
                <w:rFonts w:ascii="&amp;quot" w:eastAsia="宋体" w:hAnsi="&amp;quot" w:cs="Times New Roman"/>
                <w:color w:val="2A2A2A"/>
                <w:kern w:val="0"/>
                <w:sz w:val="24"/>
                <w:szCs w:val="24"/>
              </w:rPr>
              <w:t>5</w:t>
            </w:r>
            <w:r w:rsidRPr="00BF0C8C">
              <w:rPr>
                <w:rFonts w:ascii="&amp;quot" w:eastAsia="宋体" w:hAnsi="&amp;quot" w:cs="Times New Roman"/>
                <w:color w:val="2A2A2A"/>
                <w:kern w:val="0"/>
                <w:sz w:val="24"/>
                <w:szCs w:val="24"/>
              </w:rPr>
              <w:t>亿元及以上的工业企业项目，在完成增值税抵扣后，前两年分别按企业当年实际上缴增值税市、旗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县区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留成部分的</w:t>
            </w:r>
            <w:r w:rsidRPr="00BF0C8C">
              <w:rPr>
                <w:rFonts w:ascii="&amp;quot" w:eastAsia="宋体" w:hAnsi="&amp;quot" w:cs="Times New Roman"/>
                <w:color w:val="2A2A2A"/>
                <w:kern w:val="0"/>
                <w:sz w:val="24"/>
                <w:szCs w:val="24"/>
              </w:rPr>
              <w:t>40%</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50%</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60%</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70%</w:t>
            </w:r>
            <w:r w:rsidRPr="00BF0C8C">
              <w:rPr>
                <w:rFonts w:ascii="&amp;quot" w:eastAsia="宋体" w:hAnsi="&amp;quot" w:cs="Times New Roman"/>
                <w:color w:val="2A2A2A"/>
                <w:kern w:val="0"/>
                <w:sz w:val="24"/>
                <w:szCs w:val="24"/>
              </w:rPr>
              <w:t>用于扶持企业发展，第</w:t>
            </w:r>
            <w:r w:rsidRPr="00BF0C8C">
              <w:rPr>
                <w:rFonts w:ascii="&amp;quot" w:eastAsia="宋体" w:hAnsi="&amp;quot" w:cs="Times New Roman"/>
                <w:color w:val="2A2A2A"/>
                <w:kern w:val="0"/>
                <w:sz w:val="24"/>
                <w:szCs w:val="24"/>
              </w:rPr>
              <w:t>3</w:t>
            </w:r>
            <w:r w:rsidRPr="00BF0C8C">
              <w:rPr>
                <w:rFonts w:ascii="&amp;quot" w:eastAsia="宋体" w:hAnsi="&amp;quot" w:cs="Times New Roman"/>
                <w:color w:val="2A2A2A"/>
                <w:kern w:val="0"/>
                <w:sz w:val="24"/>
                <w:szCs w:val="24"/>
              </w:rPr>
              <w:t>年至第</w:t>
            </w:r>
            <w:r w:rsidRPr="00BF0C8C">
              <w:rPr>
                <w:rFonts w:ascii="&amp;quot" w:eastAsia="宋体" w:hAnsi="&amp;quot" w:cs="Times New Roman"/>
                <w:color w:val="2A2A2A"/>
                <w:kern w:val="0"/>
                <w:sz w:val="24"/>
                <w:szCs w:val="24"/>
              </w:rPr>
              <w:t>5</w:t>
            </w:r>
            <w:r w:rsidRPr="00BF0C8C">
              <w:rPr>
                <w:rFonts w:ascii="&amp;quot" w:eastAsia="宋体" w:hAnsi="&amp;quot" w:cs="Times New Roman"/>
                <w:color w:val="2A2A2A"/>
                <w:kern w:val="0"/>
                <w:sz w:val="24"/>
                <w:szCs w:val="24"/>
              </w:rPr>
              <w:t>年分别按当年市、旗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县区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留成部分的</w:t>
            </w:r>
            <w:r w:rsidRPr="00BF0C8C">
              <w:rPr>
                <w:rFonts w:ascii="&amp;quot" w:eastAsia="宋体" w:hAnsi="&amp;quot" w:cs="Times New Roman"/>
                <w:color w:val="2A2A2A"/>
                <w:kern w:val="0"/>
                <w:sz w:val="24"/>
                <w:szCs w:val="24"/>
              </w:rPr>
              <w:t>30%</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40%</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50%</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60%</w:t>
            </w:r>
            <w:r w:rsidRPr="00BF0C8C">
              <w:rPr>
                <w:rFonts w:ascii="&amp;quot" w:eastAsia="宋体" w:hAnsi="&amp;quot" w:cs="Times New Roman"/>
                <w:color w:val="2A2A2A"/>
                <w:kern w:val="0"/>
                <w:sz w:val="24"/>
                <w:szCs w:val="24"/>
              </w:rPr>
              <w:t>用于扶持企业发展。</w:t>
            </w:r>
            <w:r w:rsidRPr="00BF0C8C">
              <w:rPr>
                <w:rFonts w:ascii="&amp;quot" w:eastAsia="宋体" w:hAnsi="&amp;quot" w:cs="Times New Roman"/>
                <w:color w:val="2A2A2A"/>
                <w:kern w:val="0"/>
                <w:sz w:val="24"/>
                <w:szCs w:val="24"/>
              </w:rPr>
              <w:t> </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w:t>
            </w:r>
            <w:r w:rsidRPr="00BF0C8C">
              <w:rPr>
                <w:rFonts w:ascii="&amp;quot" w:eastAsia="宋体" w:hAnsi="&amp;quot" w:cs="Times New Roman"/>
                <w:color w:val="2A2A2A"/>
                <w:kern w:val="0"/>
                <w:sz w:val="24"/>
                <w:szCs w:val="24"/>
              </w:rPr>
              <w:t>固定资产投资额在</w:t>
            </w:r>
            <w:r w:rsidRPr="00BF0C8C">
              <w:rPr>
                <w:rFonts w:ascii="&amp;quot" w:eastAsia="宋体" w:hAnsi="&amp;quot" w:cs="Times New Roman"/>
                <w:color w:val="2A2A2A"/>
                <w:kern w:val="0"/>
                <w:sz w:val="24"/>
                <w:szCs w:val="24"/>
              </w:rPr>
              <w:t>3000</w:t>
            </w:r>
            <w:r w:rsidRPr="00BF0C8C">
              <w:rPr>
                <w:rFonts w:ascii="&amp;quot" w:eastAsia="宋体" w:hAnsi="&amp;quot" w:cs="Times New Roman"/>
                <w:color w:val="2A2A2A"/>
                <w:kern w:val="0"/>
                <w:sz w:val="24"/>
                <w:szCs w:val="24"/>
              </w:rPr>
              <w:t>万元以上的工业企业项目，自纳税之日起企业所得税市、旗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县区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留成部分前两年全额用于扶持企业发展，第</w:t>
            </w:r>
            <w:r w:rsidRPr="00BF0C8C">
              <w:rPr>
                <w:rFonts w:ascii="&amp;quot" w:eastAsia="宋体" w:hAnsi="&amp;quot" w:cs="Times New Roman"/>
                <w:color w:val="2A2A2A"/>
                <w:kern w:val="0"/>
                <w:sz w:val="24"/>
                <w:szCs w:val="24"/>
              </w:rPr>
              <w:t>3</w:t>
            </w:r>
            <w:r w:rsidRPr="00BF0C8C">
              <w:rPr>
                <w:rFonts w:ascii="&amp;quot" w:eastAsia="宋体" w:hAnsi="&amp;quot" w:cs="Times New Roman"/>
                <w:color w:val="2A2A2A"/>
                <w:kern w:val="0"/>
                <w:sz w:val="24"/>
                <w:szCs w:val="24"/>
              </w:rPr>
              <w:t>年至第</w:t>
            </w:r>
            <w:r w:rsidRPr="00BF0C8C">
              <w:rPr>
                <w:rFonts w:ascii="&amp;quot" w:eastAsia="宋体" w:hAnsi="&amp;quot" w:cs="Times New Roman"/>
                <w:color w:val="2A2A2A"/>
                <w:kern w:val="0"/>
                <w:sz w:val="24"/>
                <w:szCs w:val="24"/>
              </w:rPr>
              <w:t>5</w:t>
            </w:r>
            <w:r w:rsidRPr="00BF0C8C">
              <w:rPr>
                <w:rFonts w:ascii="&amp;quot" w:eastAsia="宋体" w:hAnsi="&amp;quot" w:cs="Times New Roman"/>
                <w:color w:val="2A2A2A"/>
                <w:kern w:val="0"/>
                <w:sz w:val="24"/>
                <w:szCs w:val="24"/>
              </w:rPr>
              <w:t>年按</w:t>
            </w:r>
            <w:r w:rsidRPr="00BF0C8C">
              <w:rPr>
                <w:rFonts w:ascii="&amp;quot" w:eastAsia="宋体" w:hAnsi="&amp;quot" w:cs="Times New Roman"/>
                <w:color w:val="2A2A2A"/>
                <w:kern w:val="0"/>
                <w:sz w:val="24"/>
                <w:szCs w:val="24"/>
              </w:rPr>
              <w:t>50%</w:t>
            </w:r>
            <w:r w:rsidRPr="00BF0C8C">
              <w:rPr>
                <w:rFonts w:ascii="&amp;quot" w:eastAsia="宋体" w:hAnsi="&amp;quot" w:cs="Times New Roman"/>
                <w:color w:val="2A2A2A"/>
                <w:kern w:val="0"/>
                <w:sz w:val="24"/>
                <w:szCs w:val="24"/>
              </w:rPr>
              <w:t>用于扶持企业发展。</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12</w:t>
            </w:r>
            <w:r w:rsidRPr="00BF0C8C">
              <w:rPr>
                <w:rFonts w:ascii="&amp;quot" w:eastAsia="宋体" w:hAnsi="&amp;quot" w:cs="Times New Roman"/>
                <w:color w:val="2A2A2A"/>
                <w:kern w:val="0"/>
                <w:sz w:val="24"/>
                <w:szCs w:val="24"/>
              </w:rPr>
              <w:t>、投资新办商贸物流、金融、旅游、信息产业、科教文卫、健康养老等产业项目</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地产除外</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，固定资产投资</w:t>
            </w:r>
            <w:r w:rsidRPr="00BF0C8C">
              <w:rPr>
                <w:rFonts w:ascii="&amp;quot" w:eastAsia="宋体" w:hAnsi="&amp;quot" w:cs="Times New Roman"/>
                <w:color w:val="2A2A2A"/>
                <w:kern w:val="0"/>
                <w:sz w:val="24"/>
                <w:szCs w:val="24"/>
              </w:rPr>
              <w:t>3000</w:t>
            </w:r>
            <w:r w:rsidRPr="00BF0C8C">
              <w:rPr>
                <w:rFonts w:ascii="&amp;quot" w:eastAsia="宋体" w:hAnsi="&amp;quot" w:cs="Times New Roman"/>
                <w:color w:val="2A2A2A"/>
                <w:kern w:val="0"/>
                <w:sz w:val="24"/>
                <w:szCs w:val="24"/>
              </w:rPr>
              <w:t>万元人民币以上或营业收入超过</w:t>
            </w:r>
            <w:r w:rsidRPr="00BF0C8C">
              <w:rPr>
                <w:rFonts w:ascii="&amp;quot" w:eastAsia="宋体" w:hAnsi="&amp;quot" w:cs="Times New Roman"/>
                <w:color w:val="2A2A2A"/>
                <w:kern w:val="0"/>
                <w:sz w:val="24"/>
                <w:szCs w:val="24"/>
              </w:rPr>
              <w:t>5000</w:t>
            </w:r>
            <w:r w:rsidRPr="00BF0C8C">
              <w:rPr>
                <w:rFonts w:ascii="&amp;quot" w:eastAsia="宋体" w:hAnsi="&amp;quot" w:cs="Times New Roman"/>
                <w:color w:val="2A2A2A"/>
                <w:kern w:val="0"/>
                <w:sz w:val="24"/>
                <w:szCs w:val="24"/>
              </w:rPr>
              <w:t>万元人民币的，自纳税之日起：前两年按税收</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增值税、企业所得税</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总额市、旗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县区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留成部分的</w:t>
            </w:r>
            <w:r w:rsidRPr="00BF0C8C">
              <w:rPr>
                <w:rFonts w:ascii="&amp;quot" w:eastAsia="宋体" w:hAnsi="&amp;quot" w:cs="Times New Roman"/>
                <w:color w:val="2A2A2A"/>
                <w:kern w:val="0"/>
                <w:sz w:val="24"/>
                <w:szCs w:val="24"/>
              </w:rPr>
              <w:t>70%</w:t>
            </w:r>
            <w:r w:rsidRPr="00BF0C8C">
              <w:rPr>
                <w:rFonts w:ascii="&amp;quot" w:eastAsia="宋体" w:hAnsi="&amp;quot" w:cs="Times New Roman"/>
                <w:color w:val="2A2A2A"/>
                <w:kern w:val="0"/>
                <w:sz w:val="24"/>
                <w:szCs w:val="24"/>
              </w:rPr>
              <w:t>给予奖励；第</w:t>
            </w:r>
            <w:r w:rsidRPr="00BF0C8C">
              <w:rPr>
                <w:rFonts w:ascii="&amp;quot" w:eastAsia="宋体" w:hAnsi="&amp;quot" w:cs="Times New Roman"/>
                <w:color w:val="2A2A2A"/>
                <w:kern w:val="0"/>
                <w:sz w:val="24"/>
                <w:szCs w:val="24"/>
              </w:rPr>
              <w:t>3</w:t>
            </w:r>
            <w:r w:rsidRPr="00BF0C8C">
              <w:rPr>
                <w:rFonts w:ascii="&amp;quot" w:eastAsia="宋体" w:hAnsi="&amp;quot" w:cs="Times New Roman"/>
                <w:color w:val="2A2A2A"/>
                <w:kern w:val="0"/>
                <w:sz w:val="24"/>
                <w:szCs w:val="24"/>
              </w:rPr>
              <w:t>年至第</w:t>
            </w:r>
            <w:r w:rsidRPr="00BF0C8C">
              <w:rPr>
                <w:rFonts w:ascii="&amp;quot" w:eastAsia="宋体" w:hAnsi="&amp;quot" w:cs="Times New Roman"/>
                <w:color w:val="2A2A2A"/>
                <w:kern w:val="0"/>
                <w:sz w:val="24"/>
                <w:szCs w:val="24"/>
              </w:rPr>
              <w:t>5</w:t>
            </w:r>
            <w:r w:rsidRPr="00BF0C8C">
              <w:rPr>
                <w:rFonts w:ascii="&amp;quot" w:eastAsia="宋体" w:hAnsi="&amp;quot" w:cs="Times New Roman"/>
                <w:color w:val="2A2A2A"/>
                <w:kern w:val="0"/>
                <w:sz w:val="24"/>
                <w:szCs w:val="24"/>
              </w:rPr>
              <w:t>年按市、旗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县区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留成部分的</w:t>
            </w:r>
            <w:r w:rsidRPr="00BF0C8C">
              <w:rPr>
                <w:rFonts w:ascii="&amp;quot" w:eastAsia="宋体" w:hAnsi="&amp;quot" w:cs="Times New Roman"/>
                <w:color w:val="2A2A2A"/>
                <w:kern w:val="0"/>
                <w:sz w:val="24"/>
                <w:szCs w:val="24"/>
              </w:rPr>
              <w:t>50%</w:t>
            </w:r>
            <w:r w:rsidRPr="00BF0C8C">
              <w:rPr>
                <w:rFonts w:ascii="&amp;quot" w:eastAsia="宋体" w:hAnsi="&amp;quot" w:cs="Times New Roman"/>
                <w:color w:val="2A2A2A"/>
                <w:kern w:val="0"/>
                <w:sz w:val="24"/>
                <w:szCs w:val="24"/>
              </w:rPr>
              <w:t>给予奖励，用于扶持企业发展。</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13</w:t>
            </w:r>
            <w:r w:rsidRPr="00BF0C8C">
              <w:rPr>
                <w:rFonts w:ascii="&amp;quot" w:eastAsia="宋体" w:hAnsi="&amp;quot" w:cs="Times New Roman"/>
                <w:color w:val="2A2A2A"/>
                <w:kern w:val="0"/>
                <w:sz w:val="24"/>
                <w:szCs w:val="24"/>
              </w:rPr>
              <w:t>、对于国家和自治区鼓励的战略性新兴产业与传统产业提质改造升级项目，符合自治区重点产业发展引导基金支持条件的，积极协调自治区给予优先安排。市级也要设立产业发展引导基金，对当年开工或在建、具备一定规模、</w:t>
            </w:r>
            <w:r w:rsidRPr="00BF0C8C">
              <w:rPr>
                <w:rFonts w:ascii="&amp;quot" w:eastAsia="宋体" w:hAnsi="&amp;quot" w:cs="Times New Roman"/>
                <w:color w:val="2A2A2A"/>
                <w:kern w:val="0"/>
                <w:sz w:val="24"/>
                <w:szCs w:val="24"/>
              </w:rPr>
              <w:lastRenderedPageBreak/>
              <w:t>经济社会效益显著的招商引资项目，优先安排引导基金予以扶持。必要时可采取</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一事一议</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方式，设立专项引导基金。</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14</w:t>
            </w:r>
            <w:r w:rsidRPr="00BF0C8C">
              <w:rPr>
                <w:rFonts w:ascii="&amp;quot" w:eastAsia="宋体" w:hAnsi="&amp;quot" w:cs="Times New Roman"/>
                <w:color w:val="2A2A2A"/>
                <w:kern w:val="0"/>
                <w:sz w:val="24"/>
                <w:szCs w:val="24"/>
              </w:rPr>
              <w:t>、对世界</w:t>
            </w:r>
            <w:r w:rsidRPr="00BF0C8C">
              <w:rPr>
                <w:rFonts w:ascii="&amp;quot" w:eastAsia="宋体" w:hAnsi="&amp;quot" w:cs="Times New Roman"/>
                <w:color w:val="2A2A2A"/>
                <w:kern w:val="0"/>
                <w:sz w:val="24"/>
                <w:szCs w:val="24"/>
              </w:rPr>
              <w:t>500</w:t>
            </w:r>
            <w:r w:rsidRPr="00BF0C8C">
              <w:rPr>
                <w:rFonts w:ascii="&amp;quot" w:eastAsia="宋体" w:hAnsi="&amp;quot" w:cs="Times New Roman"/>
                <w:color w:val="2A2A2A"/>
                <w:kern w:val="0"/>
                <w:sz w:val="24"/>
                <w:szCs w:val="24"/>
              </w:rPr>
              <w:t>强、中国</w:t>
            </w:r>
            <w:r w:rsidRPr="00BF0C8C">
              <w:rPr>
                <w:rFonts w:ascii="&amp;quot" w:eastAsia="宋体" w:hAnsi="&amp;quot" w:cs="Times New Roman"/>
                <w:color w:val="2A2A2A"/>
                <w:kern w:val="0"/>
                <w:sz w:val="24"/>
                <w:szCs w:val="24"/>
              </w:rPr>
              <w:t>500</w:t>
            </w:r>
            <w:r w:rsidRPr="00BF0C8C">
              <w:rPr>
                <w:rFonts w:ascii="&amp;quot" w:eastAsia="宋体" w:hAnsi="&amp;quot" w:cs="Times New Roman"/>
                <w:color w:val="2A2A2A"/>
                <w:kern w:val="0"/>
                <w:sz w:val="24"/>
                <w:szCs w:val="24"/>
              </w:rPr>
              <w:t>强企业与行业领军企业等到我市设立总部、地区总部、运营中心、研发中心、采购中心、营销中心、结算中心，或将上述机构注册在我市的总部性企业，从其纳税年度起，五年内按税收</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增值税、企业所得税</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总额市、旗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县区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留成部分</w:t>
            </w:r>
            <w:r w:rsidRPr="00BF0C8C">
              <w:rPr>
                <w:rFonts w:ascii="&amp;quot" w:eastAsia="宋体" w:hAnsi="&amp;quot" w:cs="Times New Roman"/>
                <w:color w:val="2A2A2A"/>
                <w:kern w:val="0"/>
                <w:sz w:val="24"/>
                <w:szCs w:val="24"/>
              </w:rPr>
              <w:t>50%</w:t>
            </w:r>
            <w:r w:rsidRPr="00BF0C8C">
              <w:rPr>
                <w:rFonts w:ascii="&amp;quot" w:eastAsia="宋体" w:hAnsi="&amp;quot" w:cs="Times New Roman"/>
                <w:color w:val="2A2A2A"/>
                <w:kern w:val="0"/>
                <w:sz w:val="24"/>
                <w:szCs w:val="24"/>
              </w:rPr>
              <w:t>奖励企业。</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15</w:t>
            </w:r>
            <w:r w:rsidRPr="00BF0C8C">
              <w:rPr>
                <w:rFonts w:ascii="&amp;quot" w:eastAsia="宋体" w:hAnsi="&amp;quot" w:cs="Times New Roman"/>
                <w:color w:val="2A2A2A"/>
                <w:kern w:val="0"/>
                <w:sz w:val="24"/>
                <w:szCs w:val="24"/>
              </w:rPr>
              <w:t>、鼓励引进高级经营管理人才和高科技人才，对企业高管薪酬</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其在我市任职期间</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的个人所得税，按其个人所得税市、旗</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县区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留存部分，前两年给予</w:t>
            </w:r>
            <w:r w:rsidRPr="00BF0C8C">
              <w:rPr>
                <w:rFonts w:ascii="&amp;quot" w:eastAsia="宋体" w:hAnsi="&amp;quot" w:cs="Times New Roman"/>
                <w:color w:val="2A2A2A"/>
                <w:kern w:val="0"/>
                <w:sz w:val="24"/>
                <w:szCs w:val="24"/>
              </w:rPr>
              <w:t>50%</w:t>
            </w:r>
            <w:r w:rsidRPr="00BF0C8C">
              <w:rPr>
                <w:rFonts w:ascii="&amp;quot" w:eastAsia="宋体" w:hAnsi="&amp;quot" w:cs="Times New Roman"/>
                <w:color w:val="2A2A2A"/>
                <w:kern w:val="0"/>
                <w:sz w:val="24"/>
                <w:szCs w:val="24"/>
              </w:rPr>
              <w:t>的补助，第</w:t>
            </w:r>
            <w:r w:rsidRPr="00BF0C8C">
              <w:rPr>
                <w:rFonts w:ascii="&amp;quot" w:eastAsia="宋体" w:hAnsi="&amp;quot" w:cs="Times New Roman"/>
                <w:color w:val="2A2A2A"/>
                <w:kern w:val="0"/>
                <w:sz w:val="24"/>
                <w:szCs w:val="24"/>
              </w:rPr>
              <w:t>3</w:t>
            </w:r>
            <w:r w:rsidRPr="00BF0C8C">
              <w:rPr>
                <w:rFonts w:ascii="&amp;quot" w:eastAsia="宋体" w:hAnsi="&amp;quot" w:cs="Times New Roman"/>
                <w:color w:val="2A2A2A"/>
                <w:kern w:val="0"/>
                <w:sz w:val="24"/>
                <w:szCs w:val="24"/>
              </w:rPr>
              <w:t>年至第</w:t>
            </w:r>
            <w:r w:rsidRPr="00BF0C8C">
              <w:rPr>
                <w:rFonts w:ascii="&amp;quot" w:eastAsia="宋体" w:hAnsi="&amp;quot" w:cs="Times New Roman"/>
                <w:color w:val="2A2A2A"/>
                <w:kern w:val="0"/>
                <w:sz w:val="24"/>
                <w:szCs w:val="24"/>
              </w:rPr>
              <w:t>5</w:t>
            </w:r>
            <w:r w:rsidRPr="00BF0C8C">
              <w:rPr>
                <w:rFonts w:ascii="&amp;quot" w:eastAsia="宋体" w:hAnsi="&amp;quot" w:cs="Times New Roman"/>
                <w:color w:val="2A2A2A"/>
                <w:kern w:val="0"/>
                <w:sz w:val="24"/>
                <w:szCs w:val="24"/>
              </w:rPr>
              <w:t>年给予</w:t>
            </w:r>
            <w:r w:rsidRPr="00BF0C8C">
              <w:rPr>
                <w:rFonts w:ascii="&amp;quot" w:eastAsia="宋体" w:hAnsi="&amp;quot" w:cs="Times New Roman"/>
                <w:color w:val="2A2A2A"/>
                <w:kern w:val="0"/>
                <w:sz w:val="24"/>
                <w:szCs w:val="24"/>
              </w:rPr>
              <w:t>30%</w:t>
            </w:r>
            <w:r w:rsidRPr="00BF0C8C">
              <w:rPr>
                <w:rFonts w:ascii="&amp;quot" w:eastAsia="宋体" w:hAnsi="&amp;quot" w:cs="Times New Roman"/>
                <w:color w:val="2A2A2A"/>
                <w:kern w:val="0"/>
                <w:sz w:val="24"/>
                <w:szCs w:val="24"/>
              </w:rPr>
              <w:t>的补助。</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16</w:t>
            </w:r>
            <w:r w:rsidRPr="00BF0C8C">
              <w:rPr>
                <w:rFonts w:ascii="&amp;quot" w:eastAsia="宋体" w:hAnsi="&amp;quot" w:cs="Times New Roman"/>
                <w:color w:val="2A2A2A"/>
                <w:kern w:val="0"/>
                <w:sz w:val="24"/>
                <w:szCs w:val="24"/>
              </w:rPr>
              <w:t>、为鼓励现有企业技改扩建、转型升级、引资合作，对于符合国家产业政策的市内投资者新上或扩建项目，新增投资额形成的税收，比照新落地项目给予扶持，享受与外来投资者同等的优惠。</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五、金融服务政策</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17</w:t>
            </w:r>
            <w:r w:rsidRPr="00BF0C8C">
              <w:rPr>
                <w:rFonts w:ascii="&amp;quot" w:eastAsia="宋体" w:hAnsi="&amp;quot" w:cs="Times New Roman"/>
                <w:color w:val="2A2A2A"/>
                <w:kern w:val="0"/>
                <w:sz w:val="24"/>
                <w:szCs w:val="24"/>
              </w:rPr>
              <w:t>、强化金融服务。市和旗县区建立与金融机构定期协调机制，协助现有企业和招商引资项目做好银行信贷、发行债券、上市融资和申请国家专项建设基金，积极为企业解决</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融资难</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融资贵</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和</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续贷难</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问题，建立银企共赢的发展关系。建立应急转贷机制，帮助困难企业解决到期银行贷款还款难问题，缓解企业资金压力。</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18</w:t>
            </w:r>
            <w:r w:rsidRPr="00BF0C8C">
              <w:rPr>
                <w:rFonts w:ascii="&amp;quot" w:eastAsia="宋体" w:hAnsi="&amp;quot" w:cs="Times New Roman"/>
                <w:color w:val="2A2A2A"/>
                <w:kern w:val="0"/>
                <w:sz w:val="24"/>
                <w:szCs w:val="24"/>
              </w:rPr>
              <w:t>、引进上市公司奖励补助。对从市外将注册地变更至我市并承诺十年内不迁离的上市公司，在享受自治区奖励补助</w:t>
            </w:r>
            <w:r w:rsidRPr="00BF0C8C">
              <w:rPr>
                <w:rFonts w:ascii="&amp;quot" w:eastAsia="宋体" w:hAnsi="&amp;quot" w:cs="Times New Roman"/>
                <w:color w:val="2A2A2A"/>
                <w:kern w:val="0"/>
                <w:sz w:val="24"/>
                <w:szCs w:val="24"/>
              </w:rPr>
              <w:t>300</w:t>
            </w:r>
            <w:r w:rsidRPr="00BF0C8C">
              <w:rPr>
                <w:rFonts w:ascii="&amp;quot" w:eastAsia="宋体" w:hAnsi="&amp;quot" w:cs="Times New Roman"/>
                <w:color w:val="2A2A2A"/>
                <w:kern w:val="0"/>
                <w:sz w:val="24"/>
                <w:szCs w:val="24"/>
              </w:rPr>
              <w:t>万元</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不含各旗县区间的注册地变更</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，并享受国家西部大开发和自治区招商引资优惠政策的基础上，市和旗县区政府一次性给予主板上市企业</w:t>
            </w:r>
            <w:r w:rsidRPr="00BF0C8C">
              <w:rPr>
                <w:rFonts w:ascii="&amp;quot" w:eastAsia="宋体" w:hAnsi="&amp;quot" w:cs="Times New Roman"/>
                <w:color w:val="2A2A2A"/>
                <w:kern w:val="0"/>
                <w:sz w:val="24"/>
                <w:szCs w:val="24"/>
              </w:rPr>
              <w:t>1000</w:t>
            </w:r>
            <w:r w:rsidRPr="00BF0C8C">
              <w:rPr>
                <w:rFonts w:ascii="&amp;quot" w:eastAsia="宋体" w:hAnsi="&amp;quot" w:cs="Times New Roman"/>
                <w:color w:val="2A2A2A"/>
                <w:kern w:val="0"/>
                <w:sz w:val="24"/>
                <w:szCs w:val="24"/>
              </w:rPr>
              <w:t>万元，中小板、创业板上市企业</w:t>
            </w:r>
            <w:r w:rsidRPr="00BF0C8C">
              <w:rPr>
                <w:rFonts w:ascii="&amp;quot" w:eastAsia="宋体" w:hAnsi="&amp;quot" w:cs="Times New Roman"/>
                <w:color w:val="2A2A2A"/>
                <w:kern w:val="0"/>
                <w:sz w:val="24"/>
                <w:szCs w:val="24"/>
              </w:rPr>
              <w:t>600</w:t>
            </w:r>
            <w:r w:rsidRPr="00BF0C8C">
              <w:rPr>
                <w:rFonts w:ascii="&amp;quot" w:eastAsia="宋体" w:hAnsi="&amp;quot" w:cs="Times New Roman"/>
                <w:color w:val="2A2A2A"/>
                <w:kern w:val="0"/>
                <w:sz w:val="24"/>
                <w:szCs w:val="24"/>
              </w:rPr>
              <w:t>万元的奖励补助。</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19</w:t>
            </w:r>
            <w:r w:rsidRPr="00BF0C8C">
              <w:rPr>
                <w:rFonts w:ascii="&amp;quot" w:eastAsia="宋体" w:hAnsi="&amp;quot" w:cs="Times New Roman"/>
                <w:color w:val="2A2A2A"/>
                <w:kern w:val="0"/>
                <w:sz w:val="24"/>
                <w:szCs w:val="24"/>
              </w:rPr>
              <w:t>、上市公司并购重组费用补贴。对注册地在我市的上市公司成功并购重组或上市公司对我市企业成功并购重组的，在享受自治区按照并购标的资产的</w:t>
            </w:r>
            <w:r w:rsidRPr="00BF0C8C">
              <w:rPr>
                <w:rFonts w:ascii="&amp;quot" w:eastAsia="宋体" w:hAnsi="&amp;quot" w:cs="Times New Roman"/>
                <w:color w:val="2A2A2A"/>
                <w:kern w:val="0"/>
                <w:sz w:val="24"/>
                <w:szCs w:val="24"/>
              </w:rPr>
              <w:t>0.5%</w:t>
            </w:r>
            <w:r w:rsidRPr="00BF0C8C">
              <w:rPr>
                <w:rFonts w:ascii="&amp;quot" w:eastAsia="宋体" w:hAnsi="&amp;quot" w:cs="Times New Roman"/>
                <w:color w:val="2A2A2A"/>
                <w:kern w:val="0"/>
                <w:sz w:val="24"/>
                <w:szCs w:val="24"/>
              </w:rPr>
              <w:t>给予费用补贴，最高不超过</w:t>
            </w:r>
            <w:r w:rsidRPr="00BF0C8C">
              <w:rPr>
                <w:rFonts w:ascii="&amp;quot" w:eastAsia="宋体" w:hAnsi="&amp;quot" w:cs="Times New Roman"/>
                <w:color w:val="2A2A2A"/>
                <w:kern w:val="0"/>
                <w:sz w:val="24"/>
                <w:szCs w:val="24"/>
              </w:rPr>
              <w:t>300</w:t>
            </w:r>
            <w:r w:rsidRPr="00BF0C8C">
              <w:rPr>
                <w:rFonts w:ascii="&amp;quot" w:eastAsia="宋体" w:hAnsi="&amp;quot" w:cs="Times New Roman"/>
                <w:color w:val="2A2A2A"/>
                <w:kern w:val="0"/>
                <w:sz w:val="24"/>
                <w:szCs w:val="24"/>
              </w:rPr>
              <w:t>万元的基础上，市和旗县区政府按照并购标的资产的</w:t>
            </w:r>
            <w:r w:rsidRPr="00BF0C8C">
              <w:rPr>
                <w:rFonts w:ascii="&amp;quot" w:eastAsia="宋体" w:hAnsi="&amp;quot" w:cs="Times New Roman"/>
                <w:color w:val="2A2A2A"/>
                <w:kern w:val="0"/>
                <w:sz w:val="24"/>
                <w:szCs w:val="24"/>
              </w:rPr>
              <w:t>0.5%</w:t>
            </w:r>
            <w:r w:rsidRPr="00BF0C8C">
              <w:rPr>
                <w:rFonts w:ascii="&amp;quot" w:eastAsia="宋体" w:hAnsi="&amp;quot" w:cs="Times New Roman"/>
                <w:color w:val="2A2A2A"/>
                <w:kern w:val="0"/>
                <w:sz w:val="24"/>
                <w:szCs w:val="24"/>
              </w:rPr>
              <w:t>给予费用补贴，最高不超过</w:t>
            </w:r>
            <w:r w:rsidRPr="00BF0C8C">
              <w:rPr>
                <w:rFonts w:ascii="&amp;quot" w:eastAsia="宋体" w:hAnsi="&amp;quot" w:cs="Times New Roman"/>
                <w:color w:val="2A2A2A"/>
                <w:kern w:val="0"/>
                <w:sz w:val="24"/>
                <w:szCs w:val="24"/>
              </w:rPr>
              <w:t>500</w:t>
            </w:r>
            <w:r w:rsidRPr="00BF0C8C">
              <w:rPr>
                <w:rFonts w:ascii="&amp;quot" w:eastAsia="宋体" w:hAnsi="&amp;quot" w:cs="Times New Roman"/>
                <w:color w:val="2A2A2A"/>
                <w:kern w:val="0"/>
                <w:sz w:val="24"/>
                <w:szCs w:val="24"/>
              </w:rPr>
              <w:t>万元。</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20</w:t>
            </w:r>
            <w:r w:rsidRPr="00BF0C8C">
              <w:rPr>
                <w:rFonts w:ascii="&amp;quot" w:eastAsia="宋体" w:hAnsi="&amp;quot" w:cs="Times New Roman"/>
                <w:color w:val="2A2A2A"/>
                <w:kern w:val="0"/>
                <w:sz w:val="24"/>
                <w:szCs w:val="24"/>
              </w:rPr>
              <w:t>、对于首发上市、企业借壳上市、挂牌和通过资本市场、债券市场融资等给予相应费用补贴。</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具体政策按《巴彦淖尔市关于进一步推进多层次资本市场融资的若干意见》执行</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六、投资环境与服务</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lastRenderedPageBreak/>
              <w:t xml:space="preserve">　　</w:t>
            </w:r>
            <w:r w:rsidRPr="00BF0C8C">
              <w:rPr>
                <w:rFonts w:ascii="&amp;quot" w:eastAsia="宋体" w:hAnsi="&amp;quot" w:cs="Times New Roman"/>
                <w:color w:val="2A2A2A"/>
                <w:kern w:val="0"/>
                <w:sz w:val="24"/>
                <w:szCs w:val="24"/>
              </w:rPr>
              <w:t>21</w:t>
            </w:r>
            <w:r w:rsidRPr="00BF0C8C">
              <w:rPr>
                <w:rFonts w:ascii="&amp;quot" w:eastAsia="宋体" w:hAnsi="&amp;quot" w:cs="Times New Roman"/>
                <w:color w:val="2A2A2A"/>
                <w:kern w:val="0"/>
                <w:sz w:val="24"/>
                <w:szCs w:val="24"/>
              </w:rPr>
              <w:t>、新建项目实行联合审批：属国家、自治区核准或备案的项目由市直对口部门按职责报批；属市级、旗县区核准或备案的项目，如组件齐备但需经专业评估部门评估的，审批时限不超过</w:t>
            </w:r>
            <w:r w:rsidRPr="00BF0C8C">
              <w:rPr>
                <w:rFonts w:ascii="&amp;quot" w:eastAsia="宋体" w:hAnsi="&amp;quot" w:cs="Times New Roman"/>
                <w:color w:val="2A2A2A"/>
                <w:kern w:val="0"/>
                <w:sz w:val="24"/>
                <w:szCs w:val="24"/>
              </w:rPr>
              <w:t>5</w:t>
            </w:r>
            <w:r w:rsidRPr="00BF0C8C">
              <w:rPr>
                <w:rFonts w:ascii="&amp;quot" w:eastAsia="宋体" w:hAnsi="&amp;quot" w:cs="Times New Roman"/>
                <w:color w:val="2A2A2A"/>
                <w:kern w:val="0"/>
                <w:sz w:val="24"/>
                <w:szCs w:val="24"/>
              </w:rPr>
              <w:t>个工作日；不需进行评估论证的，审批时限不超过</w:t>
            </w:r>
            <w:r w:rsidRPr="00BF0C8C">
              <w:rPr>
                <w:rFonts w:ascii="&amp;quot" w:eastAsia="宋体" w:hAnsi="&amp;quot" w:cs="Times New Roman"/>
                <w:color w:val="2A2A2A"/>
                <w:kern w:val="0"/>
                <w:sz w:val="24"/>
                <w:szCs w:val="24"/>
              </w:rPr>
              <w:t>1</w:t>
            </w:r>
            <w:r w:rsidRPr="00BF0C8C">
              <w:rPr>
                <w:rFonts w:ascii="&amp;quot" w:eastAsia="宋体" w:hAnsi="&amp;quot" w:cs="Times New Roman"/>
                <w:color w:val="2A2A2A"/>
                <w:kern w:val="0"/>
                <w:sz w:val="24"/>
                <w:szCs w:val="24"/>
              </w:rPr>
              <w:t>个工作日。</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22</w:t>
            </w:r>
            <w:r w:rsidRPr="00BF0C8C">
              <w:rPr>
                <w:rFonts w:ascii="&amp;quot" w:eastAsia="宋体" w:hAnsi="&amp;quot" w:cs="Times New Roman"/>
                <w:color w:val="2A2A2A"/>
                <w:kern w:val="0"/>
                <w:sz w:val="24"/>
                <w:szCs w:val="24"/>
              </w:rPr>
              <w:t>、简政放权、放管结合、优化服务。住建、规划、国土、环保等部门对新建重点项目提前介入，分段并联审批，实行集中图审，做好各项前期服务工作。对特殊项目实行应急招标措施，缩短审批时间，支持项目尽早开工建设。税务部门为企业提供优质快捷的税收政策咨询与办税服务。</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23</w:t>
            </w:r>
            <w:r w:rsidRPr="00BF0C8C">
              <w:rPr>
                <w:rFonts w:ascii="&amp;quot" w:eastAsia="宋体" w:hAnsi="&amp;quot" w:cs="Times New Roman"/>
                <w:color w:val="2A2A2A"/>
                <w:kern w:val="0"/>
                <w:sz w:val="24"/>
                <w:szCs w:val="24"/>
              </w:rPr>
              <w:t>、新建项目实行全程代办服务制。除国家、自治区规定确需投资方自行办理审批外，市政务服务中心及各相关部门要协助项目单位做好项目前期工作，一次性告知项目单位应准备的审批材料、审批条件和审批程序，做好全程代办服务。成立重点项目调度委员会，由市政府领导主持定期召开项目调度会，解决项目审批、建设中存在的问题，协调推进项目顺利实施。</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24</w:t>
            </w:r>
            <w:r w:rsidRPr="00BF0C8C">
              <w:rPr>
                <w:rFonts w:ascii="&amp;quot" w:eastAsia="宋体" w:hAnsi="&amp;quot" w:cs="Times New Roman"/>
                <w:color w:val="2A2A2A"/>
                <w:kern w:val="0"/>
                <w:sz w:val="24"/>
                <w:szCs w:val="24"/>
              </w:rPr>
              <w:t>、对所有涉及外来投资企业的行政事业性收费项目，除国家、自治区有明确规定的，均按最低下限征收。实行中介评估机构招标制，遏制环评、能评、安评、水评等第三方中介乱收费现象，切实减轻企业负担。</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25</w:t>
            </w:r>
            <w:r w:rsidRPr="00BF0C8C">
              <w:rPr>
                <w:rFonts w:ascii="&amp;quot" w:eastAsia="宋体" w:hAnsi="&amp;quot" w:cs="Times New Roman"/>
                <w:color w:val="2A2A2A"/>
                <w:kern w:val="0"/>
                <w:sz w:val="24"/>
                <w:szCs w:val="24"/>
              </w:rPr>
              <w:t>、外来投资者在办理户口、子女入托就学等方面与本市市民享受同等待遇。</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26</w:t>
            </w:r>
            <w:r w:rsidRPr="00BF0C8C">
              <w:rPr>
                <w:rFonts w:ascii="&amp;quot" w:eastAsia="宋体" w:hAnsi="&amp;quot" w:cs="Times New Roman"/>
                <w:color w:val="2A2A2A"/>
                <w:kern w:val="0"/>
                <w:sz w:val="24"/>
                <w:szCs w:val="24"/>
              </w:rPr>
              <w:t>、建立由企业、客商参与的政府部门工作效率与行风评价体系，有效监督与激励政府部门改进工作作风。</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七、资源配置与奖励政策</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27</w:t>
            </w:r>
            <w:r w:rsidRPr="00BF0C8C">
              <w:rPr>
                <w:rFonts w:ascii="&amp;quot" w:eastAsia="宋体" w:hAnsi="&amp;quot" w:cs="Times New Roman"/>
                <w:color w:val="2A2A2A"/>
                <w:kern w:val="0"/>
                <w:sz w:val="24"/>
                <w:szCs w:val="24"/>
              </w:rPr>
              <w:t>、按照内蒙古自治区人民政府《关于印发自治区完善煤炭资源配置管理若干规定的通知》</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内政发</w:t>
            </w:r>
            <w:r w:rsidRPr="00BF0C8C">
              <w:rPr>
                <w:rFonts w:ascii="&amp;quot" w:eastAsia="宋体" w:hAnsi="&amp;quot" w:cs="Times New Roman"/>
                <w:color w:val="2A2A2A"/>
                <w:kern w:val="0"/>
                <w:sz w:val="24"/>
                <w:szCs w:val="24"/>
              </w:rPr>
              <w:t>[2012] 126</w:t>
            </w:r>
            <w:r w:rsidRPr="00BF0C8C">
              <w:rPr>
                <w:rFonts w:ascii="&amp;quot" w:eastAsia="宋体" w:hAnsi="&amp;quot" w:cs="Times New Roman"/>
                <w:color w:val="2A2A2A"/>
                <w:kern w:val="0"/>
                <w:sz w:val="24"/>
                <w:szCs w:val="24"/>
              </w:rPr>
              <w:t>号</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和内蒙古自治区人民政府《关于深化煤炭资源市场化配置的意见》</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内政发〔</w:t>
            </w:r>
            <w:r w:rsidRPr="00BF0C8C">
              <w:rPr>
                <w:rFonts w:ascii="&amp;quot" w:eastAsia="宋体" w:hAnsi="&amp;quot" w:cs="Times New Roman"/>
                <w:color w:val="2A2A2A"/>
                <w:kern w:val="0"/>
                <w:sz w:val="24"/>
                <w:szCs w:val="24"/>
              </w:rPr>
              <w:t>2015</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147</w:t>
            </w:r>
            <w:r w:rsidRPr="00BF0C8C">
              <w:rPr>
                <w:rFonts w:ascii="&amp;quot" w:eastAsia="宋体" w:hAnsi="&amp;quot" w:cs="Times New Roman"/>
                <w:color w:val="2A2A2A"/>
                <w:kern w:val="0"/>
                <w:sz w:val="24"/>
                <w:szCs w:val="24"/>
              </w:rPr>
              <w:t>号</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文件，对符合条件的企业、项目给予煤炭资源配置。</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28</w:t>
            </w:r>
            <w:r w:rsidRPr="00BF0C8C">
              <w:rPr>
                <w:rFonts w:ascii="&amp;quot" w:eastAsia="宋体" w:hAnsi="&amp;quot" w:cs="Times New Roman"/>
                <w:color w:val="2A2A2A"/>
                <w:kern w:val="0"/>
                <w:sz w:val="24"/>
                <w:szCs w:val="24"/>
              </w:rPr>
              <w:t>、对在我市投资建设装备制造、机械制造等延长产业链的企业、项目，优先配置风能、太阳能资源；对重点招商项目优先配置水资源，优先安排节水项目资金。</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w:t>
            </w:r>
            <w:r w:rsidRPr="00BF0C8C">
              <w:rPr>
                <w:rFonts w:ascii="&amp;quot" w:eastAsia="宋体" w:hAnsi="&amp;quot" w:cs="Times New Roman"/>
                <w:color w:val="2A2A2A"/>
                <w:kern w:val="0"/>
                <w:sz w:val="24"/>
                <w:szCs w:val="24"/>
              </w:rPr>
              <w:t>29</w:t>
            </w:r>
            <w:r w:rsidRPr="00BF0C8C">
              <w:rPr>
                <w:rFonts w:ascii="&amp;quot" w:eastAsia="宋体" w:hAnsi="&amp;quot" w:cs="Times New Roman"/>
                <w:color w:val="2A2A2A"/>
                <w:kern w:val="0"/>
                <w:sz w:val="24"/>
                <w:szCs w:val="24"/>
              </w:rPr>
              <w:t>、对于企业、商会、协会、专业机构、民办非企业单位和社会组织</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不含政府部门</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，在招商引资工作中发挥重要作用，在促进企业项目落地方面做出贡献的，按实际外来投资到位资金额的千分之一给予奖励；引进</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世界</w:t>
            </w:r>
            <w:r w:rsidRPr="00BF0C8C">
              <w:rPr>
                <w:rFonts w:ascii="&amp;quot" w:eastAsia="宋体" w:hAnsi="&amp;quot" w:cs="Times New Roman"/>
                <w:color w:val="2A2A2A"/>
                <w:kern w:val="0"/>
                <w:sz w:val="24"/>
                <w:szCs w:val="24"/>
              </w:rPr>
              <w:t>500</w:t>
            </w:r>
            <w:r w:rsidRPr="00BF0C8C">
              <w:rPr>
                <w:rFonts w:ascii="&amp;quot" w:eastAsia="宋体" w:hAnsi="&amp;quot" w:cs="Times New Roman"/>
                <w:color w:val="2A2A2A"/>
                <w:kern w:val="0"/>
                <w:sz w:val="24"/>
                <w:szCs w:val="24"/>
              </w:rPr>
              <w:t>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中国</w:t>
            </w:r>
            <w:r w:rsidRPr="00BF0C8C">
              <w:rPr>
                <w:rFonts w:ascii="&amp;quot" w:eastAsia="宋体" w:hAnsi="&amp;quot" w:cs="Times New Roman"/>
                <w:color w:val="2A2A2A"/>
                <w:kern w:val="0"/>
                <w:sz w:val="24"/>
                <w:szCs w:val="24"/>
              </w:rPr>
              <w:t>500</w:t>
            </w:r>
            <w:r w:rsidRPr="00BF0C8C">
              <w:rPr>
                <w:rFonts w:ascii="&amp;quot" w:eastAsia="宋体" w:hAnsi="&amp;quot" w:cs="Times New Roman"/>
                <w:color w:val="2A2A2A"/>
                <w:kern w:val="0"/>
                <w:sz w:val="24"/>
                <w:szCs w:val="24"/>
              </w:rPr>
              <w:t>强</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企业首次到我市投资，且投资额达</w:t>
            </w:r>
            <w:r w:rsidRPr="00BF0C8C">
              <w:rPr>
                <w:rFonts w:ascii="&amp;quot" w:eastAsia="宋体" w:hAnsi="&amp;quot" w:cs="Times New Roman"/>
                <w:color w:val="2A2A2A"/>
                <w:kern w:val="0"/>
                <w:sz w:val="24"/>
                <w:szCs w:val="24"/>
              </w:rPr>
              <w:t>1</w:t>
            </w:r>
            <w:r w:rsidRPr="00BF0C8C">
              <w:rPr>
                <w:rFonts w:ascii="&amp;quot" w:eastAsia="宋体" w:hAnsi="&amp;quot" w:cs="Times New Roman"/>
                <w:color w:val="2A2A2A"/>
                <w:kern w:val="0"/>
                <w:sz w:val="24"/>
                <w:szCs w:val="24"/>
              </w:rPr>
              <w:t>亿元人民币以上</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含</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的，除千分之一外，另一次性奖励</w:t>
            </w:r>
            <w:r w:rsidRPr="00BF0C8C">
              <w:rPr>
                <w:rFonts w:ascii="&amp;quot" w:eastAsia="宋体" w:hAnsi="&amp;quot" w:cs="Times New Roman"/>
                <w:color w:val="2A2A2A"/>
                <w:kern w:val="0"/>
                <w:sz w:val="24"/>
                <w:szCs w:val="24"/>
              </w:rPr>
              <w:t>5</w:t>
            </w:r>
            <w:r w:rsidRPr="00BF0C8C">
              <w:rPr>
                <w:rFonts w:ascii="&amp;quot" w:eastAsia="宋体" w:hAnsi="&amp;quot" w:cs="Times New Roman"/>
                <w:color w:val="2A2A2A"/>
                <w:kern w:val="0"/>
                <w:sz w:val="24"/>
                <w:szCs w:val="24"/>
              </w:rPr>
              <w:t>万元</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家次；单个项目奖励最高不超过</w:t>
            </w:r>
            <w:r w:rsidRPr="00BF0C8C">
              <w:rPr>
                <w:rFonts w:ascii="&amp;quot" w:eastAsia="宋体" w:hAnsi="&amp;quot" w:cs="Times New Roman"/>
                <w:color w:val="2A2A2A"/>
                <w:kern w:val="0"/>
                <w:sz w:val="24"/>
                <w:szCs w:val="24"/>
              </w:rPr>
              <w:t>100</w:t>
            </w:r>
            <w:r w:rsidRPr="00BF0C8C">
              <w:rPr>
                <w:rFonts w:ascii="&amp;quot" w:eastAsia="宋体" w:hAnsi="&amp;quot" w:cs="Times New Roman"/>
                <w:color w:val="2A2A2A"/>
                <w:kern w:val="0"/>
                <w:sz w:val="24"/>
                <w:szCs w:val="24"/>
              </w:rPr>
              <w:t>万元</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含</w:t>
            </w:r>
            <w:r w:rsidRPr="00BF0C8C">
              <w:rPr>
                <w:rFonts w:ascii="&amp;quot" w:eastAsia="宋体" w:hAnsi="&amp;quot" w:cs="Times New Roman"/>
                <w:color w:val="2A2A2A"/>
                <w:kern w:val="0"/>
                <w:sz w:val="24"/>
                <w:szCs w:val="24"/>
              </w:rPr>
              <w:t>)</w:t>
            </w:r>
            <w:r w:rsidRPr="00BF0C8C">
              <w:rPr>
                <w:rFonts w:ascii="&amp;quot" w:eastAsia="宋体" w:hAnsi="&amp;quot" w:cs="Times New Roman"/>
                <w:color w:val="2A2A2A"/>
                <w:kern w:val="0"/>
                <w:sz w:val="24"/>
                <w:szCs w:val="24"/>
              </w:rPr>
              <w:t>。</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lastRenderedPageBreak/>
              <w:t xml:space="preserve">　　</w:t>
            </w:r>
            <w:r w:rsidRPr="00BF0C8C">
              <w:rPr>
                <w:rFonts w:ascii="&amp;quot" w:eastAsia="宋体" w:hAnsi="&amp;quot" w:cs="Times New Roman"/>
                <w:color w:val="2A2A2A"/>
                <w:kern w:val="0"/>
                <w:sz w:val="24"/>
                <w:szCs w:val="24"/>
              </w:rPr>
              <w:t>30</w:t>
            </w:r>
            <w:r w:rsidRPr="00BF0C8C">
              <w:rPr>
                <w:rFonts w:ascii="&amp;quot" w:eastAsia="宋体" w:hAnsi="&amp;quot" w:cs="Times New Roman"/>
                <w:color w:val="2A2A2A"/>
                <w:kern w:val="0"/>
                <w:sz w:val="24"/>
                <w:szCs w:val="24"/>
              </w:rPr>
              <w:t>、对在招商引资工作中做出突出贡献的旗县、部门给予行政激励。对实绩突出的单位和个人优先给予评先树优、表彰奖励，在安排使用上优先考虑。</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xml:space="preserve">　　本政策自印发之日起执行。</w:t>
            </w:r>
          </w:p>
          <w:p w:rsidR="00BF0C8C" w:rsidRPr="00BF0C8C" w:rsidRDefault="00BF0C8C" w:rsidP="00BF0C8C">
            <w:pPr>
              <w:widowControl/>
              <w:spacing w:before="100" w:beforeAutospacing="1" w:after="100" w:afterAutospacing="1" w:line="450" w:lineRule="atLeast"/>
              <w:jc w:val="left"/>
              <w:rPr>
                <w:rFonts w:ascii="&amp;quot" w:eastAsia="宋体" w:hAnsi="&amp;quot" w:cs="Times New Roman"/>
                <w:color w:val="2A2A2A"/>
                <w:kern w:val="0"/>
                <w:sz w:val="24"/>
                <w:szCs w:val="24"/>
              </w:rPr>
            </w:pPr>
            <w:r w:rsidRPr="00BF0C8C">
              <w:rPr>
                <w:rFonts w:ascii="&amp;quot" w:eastAsia="宋体" w:hAnsi="&amp;quot" w:cs="Times New Roman"/>
                <w:color w:val="2A2A2A"/>
                <w:kern w:val="0"/>
                <w:sz w:val="24"/>
                <w:szCs w:val="24"/>
              </w:rPr>
              <w:t>           </w:t>
            </w:r>
            <w:r w:rsidRPr="00BF0C8C">
              <w:rPr>
                <w:rFonts w:ascii="&amp;quot" w:eastAsia="宋体" w:hAnsi="&amp;quot" w:cs="Times New Roman"/>
                <w:color w:val="2A2A2A"/>
                <w:kern w:val="0"/>
                <w:sz w:val="36"/>
                <w:szCs w:val="36"/>
              </w:rPr>
              <w:t xml:space="preserve">  </w:t>
            </w:r>
          </w:p>
        </w:tc>
      </w:tr>
    </w:tbl>
    <w:p w:rsidR="00BF0C8C" w:rsidRPr="00BF0C8C" w:rsidRDefault="00BF0C8C" w:rsidP="00BF0C8C">
      <w:pPr>
        <w:widowControl/>
        <w:jc w:val="left"/>
        <w:rPr>
          <w:rFonts w:ascii="宋体" w:eastAsia="宋体" w:hAnsi="宋体" w:cs="宋体"/>
          <w:vanish/>
          <w:kern w:val="0"/>
          <w:sz w:val="24"/>
          <w:szCs w:val="24"/>
        </w:rPr>
      </w:pPr>
    </w:p>
    <w:tbl>
      <w:tblPr>
        <w:tblW w:w="12240" w:type="dxa"/>
        <w:tblCellSpacing w:w="0" w:type="dxa"/>
        <w:tblCellMar>
          <w:left w:w="0" w:type="dxa"/>
          <w:right w:w="0" w:type="dxa"/>
        </w:tblCellMar>
        <w:tblLook w:val="04A0" w:firstRow="1" w:lastRow="0" w:firstColumn="1" w:lastColumn="0" w:noHBand="0" w:noVBand="1"/>
      </w:tblPr>
      <w:tblGrid>
        <w:gridCol w:w="12240"/>
      </w:tblGrid>
      <w:tr w:rsidR="00BF0C8C" w:rsidRPr="00BF0C8C" w:rsidTr="00BF0C8C">
        <w:trPr>
          <w:trHeight w:val="540"/>
          <w:tblCellSpacing w:w="0" w:type="dxa"/>
        </w:trPr>
        <w:tc>
          <w:tcPr>
            <w:tcW w:w="0" w:type="auto"/>
            <w:shd w:val="clear" w:color="auto" w:fill="FFFFFF"/>
            <w:vAlign w:val="center"/>
            <w:hideMark/>
          </w:tcPr>
          <w:p w:rsidR="00BF0C8C" w:rsidRPr="00BF0C8C" w:rsidRDefault="00BF0C8C" w:rsidP="00BF0C8C">
            <w:pPr>
              <w:widowControl/>
              <w:jc w:val="left"/>
              <w:rPr>
                <w:rFonts w:ascii="宋体" w:eastAsia="宋体" w:hAnsi="宋体" w:cs="宋体"/>
                <w:kern w:val="0"/>
                <w:sz w:val="24"/>
                <w:szCs w:val="24"/>
              </w:rPr>
            </w:pPr>
          </w:p>
        </w:tc>
      </w:tr>
    </w:tbl>
    <w:p w:rsidR="00DD07B5" w:rsidRPr="00BF0C8C" w:rsidRDefault="00DD07B5">
      <w:pPr>
        <w:rPr>
          <w:rFonts w:hint="eastAsia"/>
        </w:rPr>
      </w:pPr>
    </w:p>
    <w:sectPr w:rsidR="00DD07B5" w:rsidRPr="00BF0C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85" w:rsidRDefault="00905C85" w:rsidP="00BF0C8C">
      <w:r>
        <w:separator/>
      </w:r>
    </w:p>
  </w:endnote>
  <w:endnote w:type="continuationSeparator" w:id="0">
    <w:p w:rsidR="00905C85" w:rsidRDefault="00905C85" w:rsidP="00B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85" w:rsidRDefault="00905C85" w:rsidP="00BF0C8C">
      <w:r>
        <w:separator/>
      </w:r>
    </w:p>
  </w:footnote>
  <w:footnote w:type="continuationSeparator" w:id="0">
    <w:p w:rsidR="00905C85" w:rsidRDefault="00905C85" w:rsidP="00BF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E2"/>
    <w:rsid w:val="00905C85"/>
    <w:rsid w:val="009A43E2"/>
    <w:rsid w:val="00BF0C8C"/>
    <w:rsid w:val="00DD0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786C31-0FC4-4972-818C-A12217B4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BF0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C8C"/>
    <w:rPr>
      <w:sz w:val="18"/>
      <w:szCs w:val="18"/>
    </w:rPr>
  </w:style>
  <w:style w:type="paragraph" w:styleId="a4">
    <w:name w:val="footer"/>
    <w:basedOn w:val="a"/>
    <w:link w:val="Char0"/>
    <w:uiPriority w:val="99"/>
    <w:unhideWhenUsed/>
    <w:rsid w:val="00BF0C8C"/>
    <w:pPr>
      <w:tabs>
        <w:tab w:val="center" w:pos="4153"/>
        <w:tab w:val="right" w:pos="8306"/>
      </w:tabs>
      <w:snapToGrid w:val="0"/>
      <w:jc w:val="left"/>
    </w:pPr>
    <w:rPr>
      <w:sz w:val="18"/>
      <w:szCs w:val="18"/>
    </w:rPr>
  </w:style>
  <w:style w:type="character" w:customStyle="1" w:styleId="Char0">
    <w:name w:val="页脚 Char"/>
    <w:basedOn w:val="a0"/>
    <w:link w:val="a4"/>
    <w:uiPriority w:val="99"/>
    <w:rsid w:val="00BF0C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3594">
      <w:bodyDiv w:val="1"/>
      <w:marLeft w:val="0"/>
      <w:marRight w:val="0"/>
      <w:marTop w:val="0"/>
      <w:marBottom w:val="0"/>
      <w:divBdr>
        <w:top w:val="none" w:sz="0" w:space="0" w:color="auto"/>
        <w:left w:val="none" w:sz="0" w:space="0" w:color="auto"/>
        <w:bottom w:val="none" w:sz="0" w:space="0" w:color="auto"/>
        <w:right w:val="none" w:sz="0" w:space="0" w:color="auto"/>
      </w:divBdr>
      <w:divsChild>
        <w:div w:id="1917279597">
          <w:marLeft w:val="0"/>
          <w:marRight w:val="0"/>
          <w:marTop w:val="0"/>
          <w:marBottom w:val="0"/>
          <w:divBdr>
            <w:top w:val="none" w:sz="0" w:space="0" w:color="auto"/>
            <w:left w:val="none" w:sz="0" w:space="0" w:color="auto"/>
            <w:bottom w:val="none" w:sz="0" w:space="0" w:color="auto"/>
            <w:right w:val="none" w:sz="0" w:space="0" w:color="auto"/>
          </w:divBdr>
          <w:divsChild>
            <w:div w:id="1360937258">
              <w:marLeft w:val="0"/>
              <w:marRight w:val="0"/>
              <w:marTop w:val="0"/>
              <w:marBottom w:val="0"/>
              <w:divBdr>
                <w:top w:val="none" w:sz="0" w:space="0" w:color="auto"/>
                <w:left w:val="none" w:sz="0" w:space="0" w:color="auto"/>
                <w:bottom w:val="none" w:sz="0" w:space="0" w:color="auto"/>
                <w:right w:val="none" w:sz="0" w:space="0" w:color="auto"/>
              </w:divBdr>
              <w:divsChild>
                <w:div w:id="8251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尹依晨</dc:creator>
  <cp:keywords/>
  <dc:description/>
  <cp:lastModifiedBy>尹依晨</cp:lastModifiedBy>
  <cp:revision>2</cp:revision>
  <dcterms:created xsi:type="dcterms:W3CDTF">2020-09-22T07:40:00Z</dcterms:created>
  <dcterms:modified xsi:type="dcterms:W3CDTF">2020-09-22T07:41:00Z</dcterms:modified>
</cp:coreProperties>
</file>